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812.htm"/>
      <w:bookmarkStart w:id="1" w:name="kszk2635812"/>
      <w:bookmarkStart w:id="2" w:name="zk2635812.htm"/>
      <w:bookmarkStart w:id="3" w:name="kszk2635812"/>
      <w:bookmarkEnd w:id="2"/>
      <w:bookmarkEnd w:id="3"/>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UNITED STATES</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WASHINGTON, D.C. 20549</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uto" w:line="300" w:before="0" w:after="0"/>
        <w:jc w:val="left"/>
        <w:rPr/>
      </w:pPr>
      <w:r>
        <w:rPr/>
        <w:t> </w:t>
      </w:r>
    </w:p>
    <w:p>
      <w:pPr>
        <w:pStyle w:val="TextBody"/>
        <w:bidi w:val="0"/>
        <w:spacing w:lineRule="auto" w:line="300" w:before="0" w:after="0"/>
        <w:jc w:val="center"/>
        <w:rPr/>
      </w:pPr>
      <w:r>
        <w:rPr/>
        <w:t> </w:t>
      </w:r>
      <w:r>
        <w:rPr>
          <w:rFonts w:ascii="Times New Roman;Times;serif" w:hAnsi="Times New Roman;Times;serif"/>
        </w:rPr>
        <w:t>(Mark One)</w:t>
      </w:r>
    </w:p>
    <w:p>
      <w:pPr>
        <w:pStyle w:val="TextBody"/>
        <w:bidi w:val="0"/>
        <w:spacing w:lineRule="auto" w:line="300" w:before="0" w:after="0"/>
        <w:jc w:val="center"/>
        <w:rPr/>
      </w:pPr>
      <w:r>
        <w:rPr/>
        <w:t xml:space="preserve">☒ </w:t>
      </w:r>
      <w:r>
        <w:rPr>
          <w:rFonts w:ascii="Times New Roman;Times;serif" w:hAnsi="Times New Roman;Times;serif"/>
          <w:b/>
        </w:rPr>
        <w:t xml:space="preserve">QUARTERLY REPORT PURSUANT TO SECTION 13 OR 15(d) OF THE SECURITIES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 xml:space="preserve">For the quarterly period ended </w:t>
      </w:r>
      <w:r>
        <w:rPr>
          <w:rFonts w:ascii="Times New Roman;Times;serif" w:hAnsi="Times New Roman;Times;serif"/>
          <w:b/>
          <w:u w:val="single"/>
        </w:rPr>
        <w:t>June 30, 2026</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OR</w:t>
      </w:r>
    </w:p>
    <w:p>
      <w:pPr>
        <w:pStyle w:val="TextBody"/>
        <w:bidi w:val="0"/>
        <w:spacing w:lineRule="auto" w:line="300" w:before="0" w:after="0"/>
        <w:jc w:val="center"/>
        <w:rPr/>
      </w:pPr>
      <w:r>
        <w:rPr/>
        <w:t> </w:t>
      </w:r>
    </w:p>
    <w:p>
      <w:pPr>
        <w:pStyle w:val="TextBody"/>
        <w:bidi w:val="0"/>
        <w:spacing w:lineRule="auto" w:line="300" w:before="0" w:after="0"/>
        <w:jc w:val="center"/>
        <w:rPr/>
      </w:pPr>
      <w:r>
        <w:rPr/>
        <w:t>☐ </w:t>
      </w:r>
      <w:r>
        <w:rPr>
          <w:rFonts w:ascii="Times New Roman;Times;serif" w:hAnsi="Times New Roman;Times;serif"/>
          <w:b/>
        </w:rPr>
        <w:t>TRANSITION REPORT PURSUANT TO SECTION 13 OR 15(d) OF THE SECURITIES</w:t>
        <w:br/>
        <w:t>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 xml:space="preserve">For the transition period from </w:t>
      </w:r>
      <w:r>
        <w:rPr>
          <w:rFonts w:ascii="Times New Roman;Times;serif" w:hAnsi="Times New Roman;Times;serif"/>
          <w:b/>
          <w:u w:val="single"/>
        </w:rPr>
        <w:t xml:space="preserve">                      </w:t>
      </w:r>
      <w:r>
        <w:rPr>
          <w:rFonts w:ascii="Times New Roman;Times;serif" w:hAnsi="Times New Roman;Times;serif"/>
          <w:b/>
        </w:rPr>
        <w:t xml:space="preserve">to </w:t>
      </w:r>
      <w:r>
        <w:rPr>
          <w:rFonts w:ascii="Times New Roman;Times;serif" w:hAnsi="Times New Roman;Times;serif"/>
          <w:b/>
          <w:u w:val="single"/>
        </w:rPr>
        <w:t>                    </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Commission File Number: 001-38556</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32"/>
        </w:rPr>
      </w:pPr>
      <w:r>
        <w:rPr>
          <w:rFonts w:ascii="Times New Roman;Times;serif" w:hAnsi="Times New Roman;Times;serif"/>
          <w:b/>
          <w:sz w:val="32"/>
        </w:rPr>
        <w:t>ENTERA BIO LTD.</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(Exact name of Registrant as specified in its charter)</w:t>
      </w:r>
    </w:p>
    <w:p>
      <w:pPr>
        <w:pStyle w:val="TextBody"/>
        <w:bidi w:val="0"/>
        <w:spacing w:lineRule="auto" w:line="300" w:before="0" w:after="0"/>
        <w:jc w:val="center"/>
        <w:rPr/>
      </w:pPr>
      <w:r>
        <w:rPr/>
        <w:t> </w:t>
      </w:r>
    </w:p>
    <w:tbl>
      <w:tblPr>
        <w:tblW w:w="5875" w:type="dxa"/>
        <w:jc w:val="left"/>
        <w:tblInd w:w="0" w:type="dxa"/>
        <w:tblLayout w:type="fixed"/>
        <w:tblCellMar>
          <w:top w:w="0" w:type="dxa"/>
          <w:left w:w="0" w:type="dxa"/>
          <w:bottom w:w="28" w:type="dxa"/>
          <w:right w:w="0" w:type="dxa"/>
        </w:tblCellMar>
      </w:tblPr>
      <w:tblGrid>
        <w:gridCol w:w="3935"/>
        <w:gridCol w:w="60"/>
        <w:gridCol w:w="1880"/>
      </w:tblGrid>
      <w:tr>
        <w:trPr/>
        <w:tc>
          <w:tcPr>
            <w:tcW w:w="393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Israel</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Not applicable</w:t>
            </w:r>
          </w:p>
        </w:tc>
      </w:tr>
      <w:tr>
        <w:trPr/>
        <w:tc>
          <w:tcPr>
            <w:tcW w:w="3935"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(State or other jurisdiction of</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(I.R.S. Employer</w:t>
            </w:r>
          </w:p>
        </w:tc>
      </w:tr>
      <w:tr>
        <w:trPr/>
        <w:tc>
          <w:tcPr>
            <w:tcW w:w="3935"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incorporation or organization)</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Identification No.)</w:t>
            </w:r>
          </w:p>
        </w:tc>
      </w:tr>
      <w:tr>
        <w:trPr/>
        <w:tc>
          <w:tcPr>
            <w:tcW w:w="3935" w:type="dxa"/>
            <w:tcBorders/>
            <w:tcMar>
              <w:bottom w:w="0" w:type="dxa"/>
            </w:tcMar>
            <w:vAlign w:val="center"/>
          </w:tcPr>
          <w:p>
            <w:pPr>
              <w:pStyle w:val="TableContents"/>
              <w:bidi w:val="0"/>
              <w:spacing w:lineRule="auto" w:line="300" w:before="0" w:after="0"/>
              <w:jc w:val="left"/>
              <w:rPr/>
            </w:pPr>
            <w:r>
              <w:rPr/>
              <w:t> </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tcMar>
              <w:bottom w:w="0" w:type="dxa"/>
            </w:tcMar>
            <w:vAlign w:val="center"/>
          </w:tcPr>
          <w:p>
            <w:pPr>
              <w:pStyle w:val="TableContents"/>
              <w:bidi w:val="0"/>
              <w:spacing w:lineRule="auto" w:line="300" w:before="0" w:after="0"/>
              <w:jc w:val="center"/>
              <w:rPr/>
            </w:pPr>
            <w:r>
              <w:rPr/>
              <w:t> </w:t>
            </w:r>
          </w:p>
        </w:tc>
      </w:tr>
      <w:tr>
        <w:trPr/>
        <w:tc>
          <w:tcPr>
            <w:tcW w:w="3935"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Kiryat Hadassah</w:t>
            </w:r>
          </w:p>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Minrav Building – Fifth Floor</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tcMar>
              <w:bottom w:w="0" w:type="dxa"/>
            </w:tcMar>
            <w:vAlign w:val="center"/>
          </w:tcPr>
          <w:p>
            <w:pPr>
              <w:pStyle w:val="TableContents"/>
              <w:bidi w:val="0"/>
              <w:spacing w:lineRule="auto" w:line="300" w:before="0" w:after="0"/>
              <w:jc w:val="center"/>
              <w:rPr/>
            </w:pPr>
            <w:r>
              <w:rPr/>
              <w:t> </w:t>
            </w:r>
          </w:p>
        </w:tc>
      </w:tr>
      <w:tr>
        <w:trPr/>
        <w:tc>
          <w:tcPr>
            <w:tcW w:w="393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Jerusalem, Israel</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9112002</w:t>
            </w:r>
          </w:p>
        </w:tc>
      </w:tr>
      <w:tr>
        <w:trPr/>
        <w:tc>
          <w:tcPr>
            <w:tcW w:w="3935"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(Address of principal executive offices)</w:t>
            </w:r>
          </w:p>
        </w:tc>
        <w:tc>
          <w:tcPr>
            <w:tcW w:w="60" w:type="dxa"/>
            <w:tcBorders/>
            <w:tcMar>
              <w:bottom w:w="0" w:type="dxa"/>
            </w:tcMar>
            <w:vAlign w:val="center"/>
          </w:tcPr>
          <w:p>
            <w:pPr>
              <w:pStyle w:val="TableContents"/>
              <w:bidi w:val="0"/>
              <w:spacing w:lineRule="auto" w:line="300" w:before="0" w:after="0"/>
              <w:jc w:val="left"/>
              <w:rPr/>
            </w:pPr>
            <w:r>
              <w:rPr/>
              <w:t> </w:t>
            </w:r>
          </w:p>
        </w:tc>
        <w:tc>
          <w:tcPr>
            <w:tcW w:w="1880" w:type="dxa"/>
            <w:tcBorders/>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(Zip Code)</w:t>
            </w:r>
          </w:p>
        </w:tc>
      </w:tr>
    </w:tbl>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u w:val="single"/>
        </w:rPr>
      </w:pPr>
      <w:r>
        <w:rPr>
          <w:rFonts w:ascii="Times New Roman;Times;serif" w:hAnsi="Times New Roman;Times;serif"/>
          <w:b/>
          <w:u w:val="single"/>
        </w:rPr>
        <w:t>972-2-532-7151</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(Registrant’s telephone number, including area code)</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Securities registered pursuant to Section 12(b) of the Act:</w:t>
      </w:r>
    </w:p>
    <w:p>
      <w:pPr>
        <w:pStyle w:val="TextBody"/>
        <w:bidi w:val="0"/>
        <w:spacing w:lineRule="auto" w:line="300" w:before="0" w:after="0"/>
        <w:jc w:val="left"/>
        <w:rPr/>
      </w:pPr>
      <w:r>
        <w:rPr/>
        <w:t> </w:t>
      </w:r>
    </w:p>
    <w:tbl>
      <w:tblPr>
        <w:tblW w:w="9360" w:type="dxa"/>
        <w:jc w:val="left"/>
        <w:tblInd w:w="0" w:type="dxa"/>
        <w:tblLayout w:type="fixed"/>
        <w:tblCellMar>
          <w:top w:w="0" w:type="dxa"/>
          <w:left w:w="0" w:type="dxa"/>
          <w:bottom w:w="28" w:type="dxa"/>
          <w:right w:w="0" w:type="dxa"/>
        </w:tblCellMar>
      </w:tblPr>
      <w:tblGrid>
        <w:gridCol w:w="2825"/>
        <w:gridCol w:w="60"/>
        <w:gridCol w:w="1685"/>
        <w:gridCol w:w="60"/>
        <w:gridCol w:w="4730"/>
      </w:tblGrid>
      <w:tr>
        <w:trPr/>
        <w:tc>
          <w:tcPr>
            <w:tcW w:w="282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lineRule="auto" w:line="300" w:before="0" w:after="0"/>
              <w:jc w:val="left"/>
              <w:rPr/>
            </w:pPr>
            <w:r>
              <w:rPr/>
              <w:t> </w:t>
            </w:r>
          </w:p>
        </w:tc>
        <w:tc>
          <w:tcPr>
            <w:tcW w:w="168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Trading Symbol</w:t>
            </w:r>
          </w:p>
        </w:tc>
        <w:tc>
          <w:tcPr>
            <w:tcW w:w="60" w:type="dxa"/>
            <w:tcBorders/>
            <w:tcMar>
              <w:bottom w:w="0" w:type="dxa"/>
            </w:tcMar>
            <w:vAlign w:val="center"/>
          </w:tcPr>
          <w:p>
            <w:pPr>
              <w:pStyle w:val="TableContents"/>
              <w:bidi w:val="0"/>
              <w:spacing w:lineRule="auto" w:line="300" w:before="0" w:after="0"/>
              <w:jc w:val="left"/>
              <w:rPr/>
            </w:pPr>
            <w:r>
              <w:rPr/>
              <w:t> </w:t>
            </w:r>
          </w:p>
        </w:tc>
        <w:tc>
          <w:tcPr>
            <w:tcW w:w="473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282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Ordinary Shares, par value</w:t>
            </w:r>
          </w:p>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NIS 0.0000769 per share</w:t>
            </w:r>
          </w:p>
        </w:tc>
        <w:tc>
          <w:tcPr>
            <w:tcW w:w="60" w:type="dxa"/>
            <w:tcBorders/>
            <w:shd w:fill="CCEEFF" w:val="clear"/>
            <w:tcMar>
              <w:bottom w:w="0" w:type="dxa"/>
            </w:tcMar>
            <w:vAlign w:val="center"/>
          </w:tcPr>
          <w:p>
            <w:pPr>
              <w:pStyle w:val="TableContents"/>
              <w:bidi w:val="0"/>
              <w:spacing w:lineRule="auto" w:line="300" w:before="0" w:after="0"/>
              <w:jc w:val="left"/>
              <w:rPr/>
            </w:pPr>
            <w:r>
              <w:rPr/>
              <w:t> </w:t>
            </w:r>
          </w:p>
        </w:tc>
        <w:tc>
          <w:tcPr>
            <w:tcW w:w="168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ENTX</w:t>
            </w:r>
          </w:p>
        </w:tc>
        <w:tc>
          <w:tcPr>
            <w:tcW w:w="60" w:type="dxa"/>
            <w:tcBorders/>
            <w:shd w:fill="CCEEFF" w:val="clear"/>
            <w:tcMar>
              <w:bottom w:w="0" w:type="dxa"/>
            </w:tcMar>
            <w:vAlign w:val="center"/>
          </w:tcPr>
          <w:p>
            <w:pPr>
              <w:pStyle w:val="TableContents"/>
              <w:bidi w:val="0"/>
              <w:spacing w:lineRule="auto" w:line="300" w:before="0" w:after="0"/>
              <w:jc w:val="left"/>
              <w:rPr/>
            </w:pPr>
            <w:r>
              <w:rPr/>
              <w:t> </w:t>
            </w:r>
          </w:p>
        </w:tc>
        <w:tc>
          <w:tcPr>
            <w:tcW w:w="473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Nasdaq Capital Market</w:t>
            </w:r>
          </w:p>
        </w:tc>
      </w:tr>
    </w:tbl>
    <w:p>
      <w:pPr>
        <w:pStyle w:val="TextBody"/>
        <w:bidi w:val="0"/>
        <w:spacing w:lineRule="auto" w:line="300" w:before="0" w:after="0"/>
        <w:jc w:val="center"/>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Yes ☒   No  ☐</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Yes  ☒   No  ☐</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300" w:before="0" w:after="0"/>
        <w:jc w:val="both"/>
        <w:rPr/>
      </w:pPr>
      <w:r>
        <w:rPr/>
        <w:t> </w:t>
      </w:r>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Large accelerated filer</w:t>
            </w:r>
          </w:p>
        </w:tc>
        <w:tc>
          <w:tcPr>
            <w:tcW w:w="230" w:type="dxa"/>
            <w:tcBorders/>
            <w:vAlign w:val="center"/>
          </w:tcPr>
          <w:p>
            <w:pPr>
              <w:pStyle w:val="TableContents"/>
              <w:bidi w:val="0"/>
              <w:spacing w:lineRule="auto" w:line="300" w:before="0" w:after="0"/>
              <w:jc w:val="left"/>
              <w:rPr/>
            </w:pPr>
            <w:r>
              <w:rPr/>
              <w:t>☐</w:t>
            </w:r>
          </w:p>
        </w:tc>
        <w:tc>
          <w:tcPr>
            <w:tcW w:w="26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Accelerated filer</w:t>
            </w:r>
          </w:p>
        </w:tc>
        <w:tc>
          <w:tcPr>
            <w:tcW w:w="230" w:type="dxa"/>
            <w:tcBorders/>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Non-Accelerated filer</w:t>
            </w:r>
          </w:p>
        </w:tc>
        <w:tc>
          <w:tcPr>
            <w:tcW w:w="230" w:type="dxa"/>
            <w:tcBorders/>
            <w:vAlign w:val="center"/>
          </w:tcPr>
          <w:p>
            <w:pPr>
              <w:pStyle w:val="TableContents"/>
              <w:bidi w:val="0"/>
              <w:spacing w:lineRule="auto" w:line="300" w:before="0" w:after="0"/>
              <w:jc w:val="left"/>
              <w:rPr/>
            </w:pPr>
            <w:r>
              <w:rPr/>
              <w:t>☒</w:t>
            </w:r>
          </w:p>
        </w:tc>
        <w:tc>
          <w:tcPr>
            <w:tcW w:w="26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Smaller reporting company</w:t>
            </w:r>
          </w:p>
        </w:tc>
        <w:tc>
          <w:tcPr>
            <w:tcW w:w="230" w:type="dxa"/>
            <w:tcBorders/>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left"/>
              <w:rPr/>
            </w:pPr>
            <w:r>
              <w:rPr/>
              <w:t> </w:t>
            </w:r>
          </w:p>
        </w:tc>
        <w:tc>
          <w:tcPr>
            <w:tcW w:w="230" w:type="dxa"/>
            <w:tcBorders/>
            <w:vAlign w:val="center"/>
          </w:tcPr>
          <w:p>
            <w:pPr>
              <w:pStyle w:val="TableContents"/>
              <w:bidi w:val="0"/>
              <w:spacing w:lineRule="auto" w:line="300" w:before="0" w:after="0"/>
              <w:jc w:val="left"/>
              <w:rPr/>
            </w:pPr>
            <w:r>
              <w:rPr/>
              <w:t> </w:t>
            </w:r>
          </w:p>
        </w:tc>
        <w:tc>
          <w:tcPr>
            <w:tcW w:w="26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Emerging growth company</w:t>
            </w:r>
          </w:p>
        </w:tc>
        <w:tc>
          <w:tcPr>
            <w:tcW w:w="23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Indicate by check mark whether the registrant is a shell company (as defined in Rule 12b-2 of the Exchange Act)</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Yes ☐  No ☒</w:t>
      </w:r>
    </w:p>
    <w:p>
      <w:pPr>
        <w:pStyle w:val="TextBody"/>
        <w:bidi w:val="0"/>
        <w:spacing w:lineRule="auto" w:line="300" w:before="0" w:after="0"/>
        <w:ind w:left="0" w:right="0" w:firstLine="3557"/>
        <w:jc w:val="left"/>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As of August 3, 2026, the registrant had 173,141,831 ordinary shares, par value NIS 0.0000769 per share (“Ordinary Shares”) outstanding.   </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u w:val="single"/>
        </w:rPr>
      </w:pPr>
      <w:r>
        <w:rPr>
          <w:rFonts w:ascii="Times New Roman;Times;serif" w:hAnsi="Times New Roman;Times;serif"/>
          <w:b/>
          <w:sz w:val="20"/>
          <w:u w:val="single"/>
        </w:rPr>
        <w:t>Table of Contents</w:t>
      </w:r>
    </w:p>
    <w:p>
      <w:pPr>
        <w:pStyle w:val="TextBody"/>
        <w:bidi w:val="0"/>
        <w:spacing w:lineRule="auto" w:line="30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25"/>
        <w:gridCol w:w="9025"/>
        <w:gridCol w:w="455"/>
      </w:tblGrid>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r>
              <w:rPr/>
              <w:t> </w:t>
            </w:r>
          </w:p>
        </w:tc>
        <w:tc>
          <w:tcPr>
            <w:tcW w:w="45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gridSpan w:val="2"/>
            <w:tcBorders/>
            <w:vAlign w:val="center"/>
          </w:tcPr>
          <w:p>
            <w:pPr>
              <w:pStyle w:val="TableContents"/>
              <w:bidi w:val="0"/>
              <w:spacing w:lineRule="auto" w:line="300" w:before="0" w:after="0"/>
              <w:jc w:val="left"/>
              <w:rPr/>
            </w:pPr>
            <w:hyperlink w:anchor="CAUTIONARY">
              <w:r>
                <w:rPr>
                  <w:rStyle w:val="InternetLink"/>
                  <w:rFonts w:ascii="Times New Roman;Times;serif" w:hAnsi="Times New Roman;Times;serif"/>
                  <w:b/>
                  <w:sz w:val="20"/>
                </w:rPr>
                <w:t>CAUTIONARY STATEMENT REGARDING FORWARD-LOOKING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750" w:type="dxa"/>
            <w:gridSpan w:val="2"/>
            <w:tcBorders/>
            <w:vAlign w:val="center"/>
          </w:tcPr>
          <w:p>
            <w:pPr>
              <w:pStyle w:val="TableContents"/>
              <w:bidi w:val="0"/>
              <w:spacing w:lineRule="auto" w:line="300" w:before="0" w:after="0"/>
              <w:jc w:val="left"/>
              <w:rPr/>
            </w:pPr>
            <w:hyperlink w:anchor="PARTI">
              <w:r>
                <w:rPr>
                  <w:rStyle w:val="InternetLink"/>
                  <w:rFonts w:ascii="Times New Roman;Times;serif" w:hAnsi="Times New Roman;Times;serif"/>
                  <w:b/>
                  <w:sz w:val="20"/>
                </w:rPr>
                <w:t>PART I – FINANCIAL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r>
              <w:rPr/>
              <w:t> </w:t>
            </w:r>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lineRule="auto" w:line="300" w:before="0" w:after="0"/>
              <w:jc w:val="left"/>
              <w:rPr/>
            </w:pPr>
            <w:hyperlink w:anchor="ITEM1">
              <w:r>
                <w:rPr>
                  <w:rStyle w:val="InternetLink"/>
                  <w:rFonts w:ascii="Times New Roman;Times;serif" w:hAnsi="Times New Roman;Times;serif"/>
                  <w:sz w:val="20"/>
                </w:rPr>
                <w:t>Item 1.</w:t>
              </w:r>
            </w:hyperlink>
          </w:p>
        </w:tc>
        <w:tc>
          <w:tcPr>
            <w:tcW w:w="9025" w:type="dxa"/>
            <w:tcBorders/>
            <w:vAlign w:val="center"/>
          </w:tcPr>
          <w:p>
            <w:pPr>
              <w:pStyle w:val="TableContents"/>
              <w:bidi w:val="0"/>
              <w:spacing w:lineRule="auto" w:line="300" w:before="0" w:after="0"/>
              <w:jc w:val="both"/>
              <w:rPr/>
            </w:pPr>
            <w:hyperlink w:anchor="ITEM1">
              <w:r>
                <w:rPr>
                  <w:rStyle w:val="InternetLink"/>
                  <w:rFonts w:ascii="Times New Roman;Times;serif" w:hAnsi="Times New Roman;Times;serif"/>
                  <w:sz w:val="20"/>
                </w:rPr>
                <w:t>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hyperlink w:anchor="SHEETS">
              <w:r>
                <w:rPr>
                  <w:rStyle w:val="InternetLink"/>
                  <w:rFonts w:ascii="Times New Roman;Times;serif" w:hAnsi="Times New Roman;Times;serif"/>
                  <w:sz w:val="20"/>
                </w:rPr>
                <w:t>Condensed Consolidated Balance Sheets as of June 30, 2026 and December 31,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hyperlink w:anchor="OPERATIONS">
              <w:r>
                <w:rPr>
                  <w:rStyle w:val="InternetLink"/>
                  <w:rFonts w:ascii="Times New Roman;Times;serif" w:hAnsi="Times New Roman;Times;serif"/>
                  <w:sz w:val="20"/>
                </w:rPr>
                <w:t>Condensed Consolidated Statements of Operations for the three and six months ended June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hyperlink w:anchor="EQUITY">
              <w:r>
                <w:rPr>
                  <w:rStyle w:val="InternetLink"/>
                  <w:rFonts w:ascii="Times New Roman;Times;serif" w:hAnsi="Times New Roman;Times;serif"/>
                  <w:sz w:val="20"/>
                </w:rPr>
                <w:t>Condensed Consolidated Statement of Changes in Shareholders’ Equity for the three and six months ended June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hyperlink w:anchor="FLOWS">
              <w:r>
                <w:rPr>
                  <w:rStyle w:val="InternetLink"/>
                  <w:rFonts w:ascii="Times New Roman;Times;serif" w:hAnsi="Times New Roman;Times;serif"/>
                  <w:sz w:val="20"/>
                </w:rPr>
                <w:t>Condensed Consolidated Statements of Cash Flows for the six months ended June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hyperlink w:anchor="NOTES">
              <w:r>
                <w:rPr>
                  <w:rStyle w:val="InternetLink"/>
                  <w:rFonts w:ascii="Times New Roman;Times;serif" w:hAnsi="Times New Roman;Times;serif"/>
                  <w:sz w:val="20"/>
                </w:rPr>
                <w:t>Notes to Condensed Consolidated Financial Statements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725" w:type="dxa"/>
            <w:tcBorders/>
            <w:vAlign w:val="center"/>
          </w:tcPr>
          <w:p>
            <w:pPr>
              <w:pStyle w:val="TableContents"/>
              <w:bidi w:val="0"/>
              <w:spacing w:lineRule="auto" w:line="300" w:before="0" w:after="0"/>
              <w:jc w:val="left"/>
              <w:rPr/>
            </w:pPr>
            <w:hyperlink w:anchor="ITEM2">
              <w:r>
                <w:rPr>
                  <w:rStyle w:val="InternetLink"/>
                  <w:rFonts w:ascii="Times New Roman;Times;serif" w:hAnsi="Times New Roman;Times;serif"/>
                  <w:sz w:val="20"/>
                </w:rPr>
                <w:t>Item 2.</w:t>
              </w:r>
            </w:hyperlink>
          </w:p>
        </w:tc>
        <w:tc>
          <w:tcPr>
            <w:tcW w:w="9025" w:type="dxa"/>
            <w:tcBorders/>
            <w:vAlign w:val="center"/>
          </w:tcPr>
          <w:p>
            <w:pPr>
              <w:pStyle w:val="TableContents"/>
              <w:bidi w:val="0"/>
              <w:spacing w:lineRule="auto" w:line="300" w:before="0" w:after="0"/>
              <w:jc w:val="both"/>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725" w:type="dxa"/>
            <w:tcBorders/>
            <w:vAlign w:val="center"/>
          </w:tcPr>
          <w:p>
            <w:pPr>
              <w:pStyle w:val="TableContents"/>
              <w:bidi w:val="0"/>
              <w:spacing w:lineRule="auto" w:line="300" w:before="0" w:after="0"/>
              <w:jc w:val="left"/>
              <w:rPr/>
            </w:pPr>
            <w:hyperlink w:anchor="ITEM3">
              <w:r>
                <w:rPr>
                  <w:rStyle w:val="InternetLink"/>
                  <w:rFonts w:ascii="Times New Roman;Times;serif" w:hAnsi="Times New Roman;Times;serif"/>
                  <w:sz w:val="20"/>
                </w:rPr>
                <w:t>Item 3.</w:t>
              </w:r>
            </w:hyperlink>
          </w:p>
        </w:tc>
        <w:tc>
          <w:tcPr>
            <w:tcW w:w="9025" w:type="dxa"/>
            <w:tcBorders/>
            <w:vAlign w:val="center"/>
          </w:tcPr>
          <w:p>
            <w:pPr>
              <w:pStyle w:val="TableContents"/>
              <w:bidi w:val="0"/>
              <w:spacing w:lineRule="auto" w:line="300" w:before="0" w:after="0"/>
              <w:jc w:val="both"/>
              <w:rPr/>
            </w:pPr>
            <w:hyperlink w:anchor="ITEM3">
              <w:r>
                <w:rPr>
                  <w:rStyle w:val="InternetLink"/>
                  <w:rFonts w:ascii="Times New Roman;Times;serif" w:hAnsi="Times New Roman;Times;serif"/>
                  <w:sz w:val="20"/>
                </w:rPr>
                <w:t>Quantitative and Qualitative Disclosures About Market Risk</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lineRule="auto" w:line="300" w:before="0" w:after="0"/>
              <w:jc w:val="left"/>
              <w:rPr/>
            </w:pPr>
            <w:hyperlink w:anchor="ITEM4">
              <w:r>
                <w:rPr>
                  <w:rStyle w:val="InternetLink"/>
                  <w:rFonts w:ascii="Times New Roman;Times;serif" w:hAnsi="Times New Roman;Times;serif"/>
                  <w:sz w:val="20"/>
                </w:rPr>
                <w:t>Item 4.</w:t>
              </w:r>
            </w:hyperlink>
          </w:p>
        </w:tc>
        <w:tc>
          <w:tcPr>
            <w:tcW w:w="9025" w:type="dxa"/>
            <w:tcBorders/>
            <w:vAlign w:val="center"/>
          </w:tcPr>
          <w:p>
            <w:pPr>
              <w:pStyle w:val="TableContents"/>
              <w:bidi w:val="0"/>
              <w:spacing w:lineRule="auto" w:line="300" w:before="0" w:after="0"/>
              <w:jc w:val="both"/>
              <w:rPr/>
            </w:pPr>
            <w:hyperlink w:anchor="ITEM4">
              <w:r>
                <w:rPr>
                  <w:rStyle w:val="InternetLink"/>
                  <w:rFonts w:ascii="Times New Roman;Times;serif" w:hAnsi="Times New Roman;Times;serif"/>
                  <w:sz w:val="20"/>
                </w:rPr>
                <w:t>Controls and Procedures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lineRule="auto" w:line="300" w:before="0" w:after="0"/>
              <w:jc w:val="left"/>
              <w:rPr/>
            </w:pPr>
            <w:r>
              <w:rPr/>
              <w:t> </w:t>
            </w:r>
          </w:p>
        </w:tc>
        <w:tc>
          <w:tcPr>
            <w:tcW w:w="9025" w:type="dxa"/>
            <w:tcBorders/>
            <w:vAlign w:val="center"/>
          </w:tcPr>
          <w:p>
            <w:pPr>
              <w:pStyle w:val="TableContents"/>
              <w:bidi w:val="0"/>
              <w:spacing w:lineRule="auto" w:line="300" w:before="0" w:after="0"/>
              <w:jc w:val="both"/>
              <w:rPr/>
            </w:pPr>
            <w:r>
              <w:rPr/>
              <w:t> </w:t>
            </w:r>
          </w:p>
        </w:tc>
        <w:tc>
          <w:tcPr>
            <w:tcW w:w="455" w:type="dxa"/>
            <w:tcBorders/>
            <w:vAlign w:val="center"/>
          </w:tcPr>
          <w:p>
            <w:pPr>
              <w:pStyle w:val="TableContents"/>
              <w:bidi w:val="0"/>
              <w:spacing w:before="0" w:after="283"/>
              <w:jc w:val="left"/>
              <w:rPr/>
            </w:pPr>
            <w:r>
              <w:rPr/>
              <w:t> </w:t>
            </w:r>
          </w:p>
        </w:tc>
      </w:tr>
      <w:tr>
        <w:trPr/>
        <w:tc>
          <w:tcPr>
            <w:tcW w:w="9750" w:type="dxa"/>
            <w:gridSpan w:val="2"/>
            <w:tcBorders/>
            <w:vAlign w:val="center"/>
          </w:tcPr>
          <w:p>
            <w:pPr>
              <w:pStyle w:val="TableContents"/>
              <w:bidi w:val="0"/>
              <w:spacing w:lineRule="auto" w:line="300" w:before="0" w:after="0"/>
              <w:jc w:val="left"/>
              <w:rPr/>
            </w:pPr>
            <w:hyperlink w:anchor="PARTII">
              <w:r>
                <w:rPr>
                  <w:rStyle w:val="InternetLink"/>
                  <w:rFonts w:ascii="Times New Roman;Times;serif" w:hAnsi="Times New Roman;Times;serif"/>
                  <w:b/>
                  <w:sz w:val="20"/>
                </w:rPr>
                <w:t>PART II – OTHER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205" w:type="dxa"/>
            <w:gridSpan w:val="3"/>
            <w:tcBorders/>
            <w:vAlign w:val="center"/>
          </w:tcPr>
          <w:p>
            <w:pPr>
              <w:pStyle w:val="TableContents"/>
              <w:bidi w:val="0"/>
              <w:spacing w:lineRule="auto" w:line="300" w:before="0" w:after="0"/>
              <w:jc w:val="left"/>
              <w:rPr/>
            </w:pPr>
            <w:r>
              <w:rPr/>
              <w:t> </w:t>
            </w:r>
          </w:p>
        </w:tc>
      </w:tr>
      <w:tr>
        <w:trPr/>
        <w:tc>
          <w:tcPr>
            <w:tcW w:w="725" w:type="dxa"/>
            <w:tcBorders/>
            <w:vAlign w:val="center"/>
          </w:tcPr>
          <w:p>
            <w:pPr>
              <w:pStyle w:val="TableContents"/>
              <w:bidi w:val="0"/>
              <w:spacing w:lineRule="auto" w:line="300" w:before="0" w:after="0"/>
              <w:jc w:val="left"/>
              <w:rPr/>
            </w:pPr>
            <w:hyperlink w:anchor="ITEM1ii">
              <w:r>
                <w:rPr>
                  <w:rStyle w:val="InternetLink"/>
                  <w:rFonts w:ascii="Times New Roman;Times;serif" w:hAnsi="Times New Roman;Times;serif"/>
                  <w:sz w:val="20"/>
                </w:rPr>
                <w:t>Item 1.</w:t>
              </w:r>
            </w:hyperlink>
          </w:p>
        </w:tc>
        <w:tc>
          <w:tcPr>
            <w:tcW w:w="9025" w:type="dxa"/>
            <w:tcBorders/>
            <w:vAlign w:val="center"/>
          </w:tcPr>
          <w:p>
            <w:pPr>
              <w:pStyle w:val="TableContents"/>
              <w:bidi w:val="0"/>
              <w:spacing w:lineRule="auto" w:line="300" w:before="0" w:after="0"/>
              <w:jc w:val="left"/>
              <w:rPr/>
            </w:pPr>
            <w:hyperlink w:anchor="ITEM1ii">
              <w:r>
                <w:rPr>
                  <w:rStyle w:val="InternetLink"/>
                  <w:rFonts w:ascii="Times New Roman;Times;serif" w:hAnsi="Times New Roman;Times;serif"/>
                  <w:sz w:val="20"/>
                </w:rPr>
                <w:t>Legal Proceedings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lineRule="auto" w:line="300" w:before="0" w:after="0"/>
              <w:jc w:val="left"/>
              <w:rPr/>
            </w:pPr>
            <w:hyperlink w:anchor="ITEM1Aii">
              <w:r>
                <w:rPr>
                  <w:rStyle w:val="InternetLink"/>
                  <w:rFonts w:ascii="Times New Roman;Times;serif" w:hAnsi="Times New Roman;Times;serif"/>
                  <w:sz w:val="20"/>
                </w:rPr>
                <w:t>Item 1A.</w:t>
              </w:r>
            </w:hyperlink>
          </w:p>
        </w:tc>
        <w:tc>
          <w:tcPr>
            <w:tcW w:w="9025" w:type="dxa"/>
            <w:tcBorders/>
            <w:vAlign w:val="center"/>
          </w:tcPr>
          <w:p>
            <w:pPr>
              <w:pStyle w:val="TableContents"/>
              <w:bidi w:val="0"/>
              <w:spacing w:lineRule="auto" w:line="300" w:before="0" w:after="0"/>
              <w:jc w:val="left"/>
              <w:rPr/>
            </w:pPr>
            <w:hyperlink w:anchor="ITEM1Aii">
              <w:r>
                <w:rPr>
                  <w:rStyle w:val="InternetLink"/>
                  <w:rFonts w:ascii="Times New Roman;Times;serif" w:hAnsi="Times New Roman;Times;serif"/>
                  <w:sz w:val="20"/>
                </w:rPr>
                <w:t>Risk Factors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lineRule="auto" w:line="300" w:before="0" w:after="0"/>
              <w:jc w:val="left"/>
              <w:rPr/>
            </w:pPr>
            <w:hyperlink w:anchor="ITEM2ii">
              <w:r>
                <w:rPr>
                  <w:rStyle w:val="InternetLink"/>
                  <w:rFonts w:ascii="Times New Roman;Times;serif" w:hAnsi="Times New Roman;Times;serif"/>
                  <w:sz w:val="20"/>
                </w:rPr>
                <w:t>Item 2.</w:t>
              </w:r>
            </w:hyperlink>
          </w:p>
        </w:tc>
        <w:tc>
          <w:tcPr>
            <w:tcW w:w="9025" w:type="dxa"/>
            <w:tcBorders/>
            <w:vAlign w:val="center"/>
          </w:tcPr>
          <w:p>
            <w:pPr>
              <w:pStyle w:val="TableContents"/>
              <w:bidi w:val="0"/>
              <w:spacing w:lineRule="auto" w:line="300" w:before="0" w:after="0"/>
              <w:jc w:val="left"/>
              <w:rPr/>
            </w:pPr>
            <w:hyperlink w:anchor="ITEM2ii">
              <w:r>
                <w:rPr>
                  <w:rStyle w:val="InternetLink"/>
                  <w:rFonts w:ascii="Times New Roman;Times;serif" w:hAnsi="Times New Roman;Times;serif"/>
                  <w:sz w:val="20"/>
                </w:rPr>
                <w:t>Unregistered Sales of Equity Securities and Use of Proceeds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lineRule="auto" w:line="300" w:before="0" w:after="0"/>
              <w:jc w:val="left"/>
              <w:rPr/>
            </w:pPr>
            <w:hyperlink w:anchor="ITEM3ii">
              <w:r>
                <w:rPr>
                  <w:rStyle w:val="InternetLink"/>
                  <w:rFonts w:ascii="Times New Roman;Times;serif" w:hAnsi="Times New Roman;Times;serif"/>
                  <w:sz w:val="20"/>
                </w:rPr>
                <w:t>Item 3.</w:t>
              </w:r>
            </w:hyperlink>
          </w:p>
        </w:tc>
        <w:tc>
          <w:tcPr>
            <w:tcW w:w="9025" w:type="dxa"/>
            <w:tcBorders/>
            <w:vAlign w:val="center"/>
          </w:tcPr>
          <w:p>
            <w:pPr>
              <w:pStyle w:val="TableContents"/>
              <w:bidi w:val="0"/>
              <w:spacing w:lineRule="auto" w:line="300" w:before="0" w:after="0"/>
              <w:jc w:val="left"/>
              <w:rPr/>
            </w:pPr>
            <w:hyperlink w:anchor="ITEM3ii">
              <w:r>
                <w:rPr>
                  <w:rStyle w:val="InternetLink"/>
                  <w:rFonts w:ascii="Times New Roman;Times;serif" w:hAnsi="Times New Roman;Times;serif"/>
                  <w:sz w:val="20"/>
                </w:rPr>
                <w:t>Defaults Upon Senior Securities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lineRule="auto" w:line="300" w:before="0" w:after="0"/>
              <w:jc w:val="left"/>
              <w:rPr/>
            </w:pPr>
            <w:hyperlink w:anchor="ITEM4ii">
              <w:r>
                <w:rPr>
                  <w:rStyle w:val="InternetLink"/>
                  <w:rFonts w:ascii="Times New Roman;Times;serif" w:hAnsi="Times New Roman;Times;serif"/>
                  <w:sz w:val="20"/>
                </w:rPr>
                <w:t>Item 4.</w:t>
              </w:r>
            </w:hyperlink>
          </w:p>
        </w:tc>
        <w:tc>
          <w:tcPr>
            <w:tcW w:w="9025" w:type="dxa"/>
            <w:tcBorders/>
            <w:vAlign w:val="center"/>
          </w:tcPr>
          <w:p>
            <w:pPr>
              <w:pStyle w:val="TableContents"/>
              <w:bidi w:val="0"/>
              <w:spacing w:lineRule="auto" w:line="300" w:before="0" w:after="0"/>
              <w:jc w:val="left"/>
              <w:rPr/>
            </w:pPr>
            <w:hyperlink w:anchor="ITEM4ii">
              <w:r>
                <w:rPr>
                  <w:rStyle w:val="InternetLink"/>
                  <w:rFonts w:ascii="Times New Roman;Times;serif" w:hAnsi="Times New Roman;Times;serif"/>
                  <w:sz w:val="20"/>
                </w:rPr>
                <w:t>Mine Safety Disclosures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lineRule="auto" w:line="300" w:before="0" w:after="0"/>
              <w:jc w:val="left"/>
              <w:rPr/>
            </w:pPr>
            <w:hyperlink w:anchor="ITEM5ii">
              <w:r>
                <w:rPr>
                  <w:rStyle w:val="InternetLink"/>
                  <w:rFonts w:ascii="Times New Roman;Times;serif" w:hAnsi="Times New Roman;Times;serif"/>
                  <w:sz w:val="20"/>
                </w:rPr>
                <w:t>Item 5.</w:t>
              </w:r>
            </w:hyperlink>
          </w:p>
        </w:tc>
        <w:tc>
          <w:tcPr>
            <w:tcW w:w="9025" w:type="dxa"/>
            <w:tcBorders/>
            <w:vAlign w:val="center"/>
          </w:tcPr>
          <w:p>
            <w:pPr>
              <w:pStyle w:val="TableContents"/>
              <w:bidi w:val="0"/>
              <w:spacing w:lineRule="auto" w:line="300" w:before="0" w:after="0"/>
              <w:jc w:val="left"/>
              <w:rPr/>
            </w:pPr>
            <w:hyperlink w:anchor="ITEM5ii">
              <w:r>
                <w:rPr>
                  <w:rStyle w:val="InternetLink"/>
                  <w:rFonts w:ascii="Times New Roman;Times;serif" w:hAnsi="Times New Roman;Times;serif"/>
                  <w:sz w:val="20"/>
                </w:rPr>
                <w:t>Other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lineRule="auto" w:line="300" w:before="0" w:after="0"/>
              <w:jc w:val="left"/>
              <w:rPr/>
            </w:pPr>
            <w:hyperlink w:anchor="ITEM6ii">
              <w:r>
                <w:rPr>
                  <w:rStyle w:val="InternetLink"/>
                  <w:rFonts w:ascii="Times New Roman;Times;serif" w:hAnsi="Times New Roman;Times;serif"/>
                  <w:sz w:val="20"/>
                </w:rPr>
                <w:t>Item 6.</w:t>
              </w:r>
            </w:hyperlink>
          </w:p>
        </w:tc>
        <w:tc>
          <w:tcPr>
            <w:tcW w:w="9025" w:type="dxa"/>
            <w:tcBorders/>
            <w:vAlign w:val="center"/>
          </w:tcPr>
          <w:p>
            <w:pPr>
              <w:pStyle w:val="TableContents"/>
              <w:bidi w:val="0"/>
              <w:spacing w:lineRule="auto" w:line="300" w:before="0" w:after="0"/>
              <w:jc w:val="both"/>
              <w:rPr/>
            </w:pPr>
            <w:hyperlink w:anchor="ITEM6ii">
              <w:r>
                <w:rPr>
                  <w:rStyle w:val="InternetLink"/>
                  <w:rFonts w:ascii="Times New Roman;Times;serif" w:hAnsi="Times New Roman;Times;serif"/>
                  <w:sz w:val="20"/>
                </w:rPr>
                <w:t>Exhibits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205" w:type="dxa"/>
            <w:gridSpan w:val="3"/>
            <w:tcBorders/>
            <w:vAlign w:val="center"/>
          </w:tcPr>
          <w:p>
            <w:pPr>
              <w:pStyle w:val="TableContents"/>
              <w:bidi w:val="0"/>
              <w:spacing w:before="0" w:after="283"/>
              <w:jc w:val="left"/>
              <w:rPr/>
            </w:pPr>
            <w:r>
              <w:rPr/>
              <w:t> </w:t>
            </w:r>
          </w:p>
        </w:tc>
      </w:tr>
      <w:tr>
        <w:trPr/>
        <w:tc>
          <w:tcPr>
            <w:tcW w:w="9750" w:type="dxa"/>
            <w:gridSpan w:val="2"/>
            <w:tcBorders/>
            <w:vAlign w:val="center"/>
          </w:tcPr>
          <w:p>
            <w:pPr>
              <w:pStyle w:val="TableContents"/>
              <w:bidi w:val="0"/>
              <w:spacing w:lineRule="auto" w:line="300" w:before="0" w:after="0"/>
              <w:jc w:val="left"/>
              <w:rPr/>
            </w:pPr>
            <w:hyperlink w:anchor="SIGNATURES">
              <w:r>
                <w:rPr>
                  <w:rStyle w:val="InternetLink"/>
                  <w:rFonts w:ascii="Times New Roman;Times;serif" w:hAnsi="Times New Roman;Times;serif"/>
                  <w:b/>
                  <w:sz w:val="20"/>
                </w:rPr>
                <w:t>SIGNATURES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bookmarkStart w:id="4" w:name="CAUTIONARY"/>
      <w:bookmarkEnd w:id="4"/>
      <w:r>
        <w:rPr>
          <w:rFonts w:ascii="Times New Roman;Times;serif" w:hAnsi="Times New Roman;Times;serif"/>
          <w:b/>
          <w:sz w:val="20"/>
        </w:rPr>
        <w:t>CAUTIONARY STATEMENT REGARDING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This Quarterly Report on Form 10-Q (this “Quarterly Report”) contains “forward-looking statements,” as that term is defined under the Private Securities Litigation Reform Act of 1995 (“PSLRA”), Section 27A of the Securities Act of 1933, as amended (the “Securities Act”), and Section 21E of the Securities Exchange Act of 1934, as amended (the “Exchange Act”). Various statements in this Quarterly Report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Quarterly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Quarterly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including,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“Part II, Item 1A-Risk Factors” of this Quarterly Report and in “Part I, Item 1A-Risk Factors” in our Annual Report on Form 10-K for the year ended December 31, 2025 (the “2025 Annual Report”). Meaningful factors that could cause actual results to differ from those expressed in forward-looking statements include, but are not limited to:</w:t>
      </w:r>
    </w:p>
    <w:p>
      <w:pPr>
        <w:pStyle w:val="TextBody"/>
        <w:bidi w:val="0"/>
        <w:spacing w:lineRule="auto" w:line="300" w:before="0" w:after="0"/>
        <w:ind w:left="0" w:right="0" w:firstLine="49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accuracy of our estimates regarding expenses, capital requirements, the sufficiency of our cash resources and the need for additional financing;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Even if a current or future product candidate receives marketing approval, it may fail to achieve the degree of market acceptance by physicians, patients, third-party payors and others in the medical community necessary for commercial success;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governmental authorities and third-party payors establish adequate coverage and reimbursement levels and pricing policies;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Failure to obtain or maintain coverage and adequate reimbursement for our product candidates, if approved, could limit our ability to market those products and decrease our ability to generate revenue;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Because we do not anticipate paying any cash dividends on our capital stock in the foreseeable future, capital appreciation, if any, will be your sole source of gain;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 </w:t>
            </w:r>
          </w:p>
        </w:tc>
      </w:tr>
    </w:tbl>
    <w:p>
      <w:pPr>
        <w:pStyle w:val="TextBody"/>
        <w:bidi w:val="0"/>
        <w:spacing w:lineRule="auto" w:line="300"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95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 </w:t>
            </w:r>
          </w:p>
        </w:tc>
      </w:tr>
    </w:tbl>
    <w:p>
      <w:pPr>
        <w:pStyle w:val="TextBody"/>
        <w:bidi w:val="0"/>
        <w:spacing w:lineRule="auto" w:line="300"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69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use and expand our N-Tab® platform to additional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tc>
      </w:tr>
    </w:tbl>
    <w:p>
      <w:pPr>
        <w:pStyle w:val="TextBody"/>
        <w:bidi w:val="0"/>
        <w:spacing w:lineRule="auto" w:line="300"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bl>
    <w:p>
      <w:pPr>
        <w:pStyle w:val="TextBody"/>
        <w:bidi w:val="0"/>
        <w:spacing w:lineRule="auto" w:line="300"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99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bl>
    <w:p>
      <w:pPr>
        <w:pStyle w:val="TextBody"/>
        <w:bidi w:val="0"/>
        <w:spacing w:lineRule="auto" w:line="300"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63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bl>
    <w:p>
      <w:pPr>
        <w:pStyle w:val="TextBody"/>
        <w:bidi w:val="0"/>
        <w:spacing w:lineRule="auto" w:line="300"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86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w:t>
            </w:r>
          </w:p>
        </w:tc>
      </w:tr>
    </w:tbl>
    <w:p>
      <w:pPr>
        <w:pStyle w:val="TextBody"/>
        <w:bidi w:val="0"/>
        <w:spacing w:lineRule="auto" w:line="300"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28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manage growth;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All forward-looking statements contained in this Quarterly Report are expressly qualified in their entirety by the cautionary statements contained or referred to in this section. We caution investors not to rely heavily on the forward-looking statements we make. Except as required by applicable law, we are under no duty, and expressly disclaim any obligation, to update or revise publicly any forward-looking statements, whether as a result of new information, future events or otherwise. You are advised, however, to consult all further disclosures we make in each annual, quarterly or current report that we file with the Securities and Exchange Commission (“SEC”).</w:t>
      </w:r>
    </w:p>
    <w:p>
      <w:pPr>
        <w:pStyle w:val="TextBody"/>
        <w:bidi w:val="0"/>
        <w:spacing w:lineRule="auto" w:line="300" w:before="0" w:after="0"/>
        <w:ind w:left="0" w:right="0" w:firstLine="360"/>
        <w:jc w:val="both"/>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We encourage you to read Part II, Item 1A of this Quarterly Report and Part I, Item 1A of our 2025 Annual Report, each entitled “Risk Factors,” and Part I, Item 2 “Management’s Discussion and Analysis of Financial Condition and Results of Operation—Liquidity and Capital Resources” of this Quarterly Report for additional discussion of the risks and uncertainties associated with our business.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PART I</w:t>
      </w:r>
      <w:bookmarkStart w:id="5" w:name="PARTI"/>
      <w:bookmarkEnd w:id="5"/>
      <w:r>
        <w:rPr>
          <w:rFonts w:ascii="Times New Roman;Times;serif" w:hAnsi="Times New Roman;Times;serif"/>
          <w:b/>
          <w:sz w:val="20"/>
        </w:rPr>
        <w:t>.</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1</w:t>
      </w:r>
      <w:bookmarkStart w:id="6" w:name="ITEM1"/>
      <w:bookmarkEnd w:id="6"/>
      <w:r>
        <w:rPr>
          <w:rFonts w:ascii="Times New Roman;Times;serif" w:hAnsi="Times New Roman;Times;serif"/>
          <w:b/>
          <w:sz w:val="20"/>
        </w:rPr>
        <w:t>. FINANCIAL STATEMENTS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 CONDENSED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AS OF JUNE 30, 2026</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lineRule="auto" w:line="300" w:before="0" w:after="0"/>
        <w:jc w:val="left"/>
        <w:rPr/>
      </w:pPr>
      <w:r>
        <w:rPr/>
        <w:t> </w:t>
      </w:r>
    </w:p>
    <w:tbl>
      <w:tblPr>
        <w:tblW w:w="7450" w:type="dxa"/>
        <w:jc w:val="left"/>
        <w:tblInd w:w="0" w:type="dxa"/>
        <w:tblLayout w:type="fixed"/>
        <w:tblCellMar>
          <w:top w:w="30" w:type="dxa"/>
          <w:left w:w="30" w:type="dxa"/>
          <w:bottom w:w="30" w:type="dxa"/>
          <w:right w:w="30" w:type="dxa"/>
        </w:tblCellMar>
      </w:tblPr>
      <w:tblGrid>
        <w:gridCol w:w="6950"/>
        <w:gridCol w:w="500"/>
      </w:tblGrid>
      <w:tr>
        <w:trPr/>
        <w:tc>
          <w:tcPr>
            <w:tcW w:w="6950" w:type="dxa"/>
            <w:tcBorders/>
            <w:vAlign w:val="center"/>
          </w:tcPr>
          <w:p>
            <w:pPr>
              <w:pStyle w:val="TableContents"/>
              <w:bidi w:val="0"/>
              <w:spacing w:before="0" w:after="283"/>
              <w:jc w:val="left"/>
              <w:rPr/>
            </w:pPr>
            <w:r>
              <w:rPr/>
              <w:t> </w:t>
            </w:r>
          </w:p>
        </w:tc>
        <w:tc>
          <w:tcPr>
            <w:tcW w:w="50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69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CONDENSED CONSOLIDATED FINANCIAL STATEMENTS:</w:t>
            </w:r>
          </w:p>
        </w:tc>
        <w:tc>
          <w:tcPr>
            <w:tcW w:w="50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180" w:right="0" w:hanging="0"/>
              <w:jc w:val="left"/>
              <w:rPr/>
            </w:pPr>
            <w:hyperlink w:anchor="SHEETS">
              <w:r>
                <w:rPr>
                  <w:rStyle w:val="InternetLink"/>
                  <w:rFonts w:ascii="Times New Roman;Times;serif" w:hAnsi="Times New Roman;Times;serif"/>
                  <w:sz w:val="20"/>
                </w:rPr>
                <w:t>Condensed Consolidated Balance Sheets (unaudited)</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w:t>
            </w:r>
          </w:p>
        </w:tc>
      </w:tr>
      <w:tr>
        <w:trPr/>
        <w:tc>
          <w:tcPr>
            <w:tcW w:w="6950" w:type="dxa"/>
            <w:tcBorders/>
            <w:vAlign w:val="center"/>
          </w:tcPr>
          <w:p>
            <w:pPr>
              <w:pStyle w:val="TableContents"/>
              <w:bidi w:val="0"/>
              <w:spacing w:lineRule="auto" w:line="300" w:before="0" w:after="0"/>
              <w:ind w:left="180" w:right="0" w:hanging="0"/>
              <w:jc w:val="left"/>
              <w:rPr/>
            </w:pPr>
            <w:hyperlink w:anchor="OPERATIONS">
              <w:r>
                <w:rPr>
                  <w:rStyle w:val="InternetLink"/>
                  <w:rFonts w:ascii="Times New Roman;Times;serif" w:hAnsi="Times New Roman;Times;serif"/>
                  <w:sz w:val="20"/>
                </w:rPr>
                <w:t>Condensed Consolidated Statements of Operations (unaudited)</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w:t>
            </w:r>
          </w:p>
        </w:tc>
      </w:tr>
      <w:tr>
        <w:trPr/>
        <w:tc>
          <w:tcPr>
            <w:tcW w:w="6950" w:type="dxa"/>
            <w:tcBorders/>
            <w:vAlign w:val="center"/>
          </w:tcPr>
          <w:p>
            <w:pPr>
              <w:pStyle w:val="TableContents"/>
              <w:bidi w:val="0"/>
              <w:spacing w:lineRule="auto" w:line="300" w:before="0" w:after="0"/>
              <w:ind w:left="180" w:right="0" w:hanging="0"/>
              <w:jc w:val="left"/>
              <w:rPr/>
            </w:pPr>
            <w:hyperlink w:anchor="EQUITY">
              <w:r>
                <w:rPr>
                  <w:rStyle w:val="InternetLink"/>
                  <w:rFonts w:ascii="Times New Roman;Times;serif" w:hAnsi="Times New Roman;Times;serif"/>
                  <w:sz w:val="20"/>
                </w:rPr>
                <w:t>Condensed Consolidated Statements of Changes in Shareholders' Equity (unaudited)</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w:t>
            </w:r>
          </w:p>
        </w:tc>
      </w:tr>
      <w:tr>
        <w:trPr/>
        <w:tc>
          <w:tcPr>
            <w:tcW w:w="6950" w:type="dxa"/>
            <w:tcBorders/>
            <w:vAlign w:val="center"/>
          </w:tcPr>
          <w:p>
            <w:pPr>
              <w:pStyle w:val="TableContents"/>
              <w:bidi w:val="0"/>
              <w:spacing w:lineRule="auto" w:line="300" w:before="0" w:after="0"/>
              <w:ind w:left="180" w:right="0" w:hanging="0"/>
              <w:jc w:val="left"/>
              <w:rPr/>
            </w:pPr>
            <w:hyperlink w:anchor="FLOWS">
              <w:r>
                <w:rPr>
                  <w:rStyle w:val="InternetLink"/>
                  <w:rFonts w:ascii="Times New Roman;Times;serif" w:hAnsi="Times New Roman;Times;serif"/>
                  <w:sz w:val="20"/>
                </w:rPr>
                <w:t>Condensed Consolidated Statements of Cash Flows (unaudited)</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w:t>
            </w:r>
          </w:p>
        </w:tc>
      </w:tr>
      <w:tr>
        <w:trPr/>
        <w:tc>
          <w:tcPr>
            <w:tcW w:w="6950" w:type="dxa"/>
            <w:tcBorders/>
            <w:vAlign w:val="center"/>
          </w:tcPr>
          <w:p>
            <w:pPr>
              <w:pStyle w:val="TableContents"/>
              <w:bidi w:val="0"/>
              <w:spacing w:lineRule="auto" w:line="300" w:before="0" w:after="0"/>
              <w:ind w:left="180" w:right="0" w:hanging="0"/>
              <w:jc w:val="left"/>
              <w:rPr/>
            </w:pPr>
            <w:hyperlink w:anchor="NOTES">
              <w:r>
                <w:rPr>
                  <w:rStyle w:val="InternetLink"/>
                  <w:rFonts w:ascii="Times New Roman;Times;serif" w:hAnsi="Times New Roman;Times;serif"/>
                  <w:sz w:val="20"/>
                </w:rPr>
                <w:t>Notes to the Condensed Consolidated Financial Statements (unaudited)</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w:t>
            </w:r>
          </w:p>
        </w:tc>
      </w:tr>
    </w:tbl>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b/>
          <w:sz w:val="20"/>
        </w:rPr>
      </w:pPr>
      <w:bookmarkStart w:id="7" w:name="SHEETS"/>
      <w:bookmarkEnd w:id="7"/>
      <w:r>
        <w:rPr>
          <w:rFonts w:ascii="Times New Roman;Times;serif" w:hAnsi="Times New Roman;Times;serif"/>
          <w:b/>
          <w:sz w:val="20"/>
        </w:rPr>
        <w:t>CONDENSED CONSOLIDATED BALANCE SHEETS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69"/>
        <w:gridCol w:w="60"/>
        <w:gridCol w:w="60"/>
        <w:gridCol w:w="875"/>
        <w:gridCol w:w="80"/>
        <w:gridCol w:w="60"/>
        <w:gridCol w:w="65"/>
        <w:gridCol w:w="955"/>
        <w:gridCol w:w="81"/>
      </w:tblGrid>
      <w:tr>
        <w:trPr/>
        <w:tc>
          <w:tcPr>
            <w:tcW w:w="7969"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1" w:type="dxa"/>
            <w:tcBorders/>
            <w:vAlign w:val="center"/>
          </w:tcPr>
          <w:p>
            <w:pPr>
              <w:pStyle w:val="TableContents"/>
              <w:bidi w:val="0"/>
              <w:spacing w:before="0" w:after="283"/>
              <w:jc w:val="left"/>
              <w:rPr/>
            </w:pPr>
            <w:r>
              <w:rPr/>
              <w:t> </w:t>
            </w:r>
          </w:p>
        </w:tc>
      </w:tr>
      <w:tr>
        <w:trPr/>
        <w:tc>
          <w:tcPr>
            <w:tcW w:w="7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1" w:type="dxa"/>
            <w:tcBorders/>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0"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11,309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7,108</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pPr>
            <w:r>
              <w:rPr/>
              <w:t>      </w:t>
            </w: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7,122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lineRule="auto" w:line="300" w:before="0" w:after="0"/>
              <w:jc w:val="right"/>
              <w:rPr/>
            </w:pPr>
            <w:r>
              <w:rPr/>
              <w:t>7,775</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both"/>
              <w:rPr/>
            </w:pPr>
            <w:r>
              <w:rPr/>
              <w:t>      </w:t>
            </w:r>
            <w:r>
              <w:rPr>
                <w:rFonts w:ascii="Times New Roman;Times;serif" w:hAnsi="Times New Roman;Times;serif"/>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415</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18,896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15,298</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134</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lineRule="auto" w:line="300" w:before="0" w:after="0"/>
              <w:jc w:val="right"/>
              <w:rPr/>
            </w:pPr>
            <w:r>
              <w:rPr/>
              <w:t>465</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left"/>
              <w:rPr/>
            </w:pPr>
            <w:r>
              <w:rPr/>
              <w:t>      </w:t>
            </w:r>
            <w:r>
              <w:rPr>
                <w:rFonts w:ascii="Times New Roman;Times;serif" w:hAnsi="Times New Roman;Times;serif"/>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90</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Funds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695</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19,480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15,993</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448</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lineRule="auto" w:line="300" w:before="0" w:after="0"/>
              <w:jc w:val="right"/>
              <w:rPr/>
            </w:pPr>
            <w:r>
              <w:rPr/>
              <w:t>1,525</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Current maturities of 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230</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2,104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2,203</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b/>
                <w:sz w:val="20"/>
              </w:rPr>
              <w:t>NON-CURRENT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260</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lineRule="auto" w:line="300" w:before="0" w:after="0"/>
              <w:jc w:val="right"/>
              <w:rPr/>
            </w:pPr>
            <w:r>
              <w:rPr/>
              <w:t>393</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Liability for employee rights upon retirement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36</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Pre-funded warrants liability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10,110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689</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2,892</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sz w:val="4"/>
                <w:szCs w:val="4"/>
              </w:rPr>
            </w:pPr>
            <w:r>
              <w:rPr>
                <w:sz w:val="4"/>
                <w:szCs w:val="4"/>
              </w:rPr>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Ordinary shares, NIS 0.0000769 par value: Authorized - as of June 30, 2026 and December 31, 2025, 140,010,000 shares; issued and outstanding as of June 30, 2026 and December 31, 2025, 49,290,233 and 46,178,630 shares,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143,407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lineRule="auto" w:line="300" w:before="0" w:after="0"/>
              <w:jc w:val="right"/>
              <w:rPr/>
            </w:pPr>
            <w:r>
              <w:rPr/>
              <w:t>138,425</w:t>
            </w:r>
          </w:p>
        </w:tc>
        <w:tc>
          <w:tcPr>
            <w:tcW w:w="81" w:type="dxa"/>
            <w:tcBorders/>
            <w:shd w:fill="CCEEFF" w:val="clear"/>
            <w:vAlign w:val="center"/>
          </w:tcPr>
          <w:p>
            <w:pPr>
              <w:pStyle w:val="TableContents"/>
              <w:bidi w:val="0"/>
              <w:spacing w:before="0" w:after="283"/>
              <w:jc w:val="left"/>
              <w:rPr/>
            </w:pPr>
            <w:r>
              <w:rPr/>
              <w:t> </w:t>
            </w:r>
          </w:p>
        </w:tc>
      </w:tr>
      <w:tr>
        <w:trPr/>
        <w:tc>
          <w:tcPr>
            <w:tcW w:w="7969" w:type="dxa"/>
            <w:tcBorders/>
            <w:shd w:fill="FFFF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lineRule="auto" w:line="300" w:before="0" w:after="0"/>
              <w:jc w:val="right"/>
              <w:rPr/>
            </w:pPr>
            <w:r>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lineRule="auto" w:line="300" w:before="0" w:after="0"/>
              <w:jc w:val="right"/>
              <w:rPr/>
            </w:pPr>
            <w:r>
              <w:rPr/>
              <w:t>41</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(136,183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(125,366</w:t>
            </w:r>
          </w:p>
        </w:tc>
        <w:tc>
          <w:tcPr>
            <w:tcW w:w="8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969" w:type="dxa"/>
            <w:tcBorders/>
            <w:shd w:fill="FFFF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7,266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13,101</w:t>
            </w:r>
          </w:p>
        </w:tc>
        <w:tc>
          <w:tcPr>
            <w:tcW w:w="81" w:type="dxa"/>
            <w:tcBorders/>
            <w:shd w:fill="FFFFFF" w:val="clear"/>
            <w:vAlign w:val="center"/>
          </w:tcPr>
          <w:p>
            <w:pPr>
              <w:pStyle w:val="TableContents"/>
              <w:bidi w:val="0"/>
              <w:spacing w:before="0" w:after="283"/>
              <w:jc w:val="left"/>
              <w:rPr/>
            </w:pPr>
            <w:r>
              <w:rPr/>
              <w:t> </w:t>
            </w:r>
          </w:p>
        </w:tc>
      </w:tr>
      <w:tr>
        <w:trPr/>
        <w:tc>
          <w:tcPr>
            <w:tcW w:w="7969"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19,480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15,993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The accompanying notes are an integral part of the</w:t>
      </w:r>
      <w:r>
        <w:rPr>
          <w:rFonts w:ascii="Times New Roman;Times;serif" w:hAnsi="Times New Roman;Times;serif"/>
          <w:sz w:val="20"/>
        </w:rPr>
        <w:t> </w:t>
      </w:r>
      <w:r>
        <w:rPr>
          <w:rFonts w:ascii="Times New Roman;Times;serif" w:hAnsi="Times New Roman;Times;serif"/>
          <w:b/>
          <w:sz w:val="20"/>
        </w:rPr>
        <w:t>unaudited condensed consolidated financial statements.</w:t>
      </w:r>
    </w:p>
    <w:p>
      <w:pPr>
        <w:pStyle w:val="TextBody"/>
        <w:bidi w:val="0"/>
        <w:spacing w:lineRule="auto" w:line="300" w:before="0" w:after="200"/>
        <w:jc w:val="both"/>
        <w:rPr/>
      </w:pPr>
      <w:r>
        <w:rPr/>
        <w:t> </w:t>
      </w:r>
    </w:p>
    <w:p>
      <w:pPr>
        <w:pStyle w:val="TextBody"/>
        <w:bidi w:val="0"/>
        <w:spacing w:lineRule="auto" w:line="300" w:before="0" w:after="0"/>
        <w:jc w:val="center"/>
        <w:rPr/>
      </w:pPr>
      <w:r>
        <w:rPr/>
        <w:t>4</w:t>
      </w:r>
    </w:p>
    <w:p>
      <w:pPr>
        <w:pStyle w:val="HorizontalLine"/>
        <w:bidi w:val="0"/>
        <w:spacing w:before="80" w:after="200"/>
        <w:jc w:val="left"/>
        <w:rPr/>
      </w:pPr>
      <w:r>
        <w:rPr/>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ENTERA BIO LTD.</w:t>
      </w:r>
    </w:p>
    <w:p>
      <w:pPr>
        <w:pStyle w:val="TextBody"/>
        <w:bidi w:val="0"/>
        <w:spacing w:lineRule="auto" w:line="300" w:before="0" w:after="0"/>
        <w:jc w:val="center"/>
        <w:rPr>
          <w:rFonts w:ascii="Times New Roman;Times;serif" w:hAnsi="Times New Roman;Times;serif"/>
          <w:b/>
        </w:rPr>
      </w:pPr>
      <w:bookmarkStart w:id="8" w:name="OPERATIONS"/>
      <w:bookmarkEnd w:id="8"/>
      <w:r>
        <w:rPr>
          <w:rFonts w:ascii="Times New Roman;Times;serif" w:hAnsi="Times New Roman;Times;serif"/>
          <w:b/>
        </w:rPr>
        <w:t>CONDENSED CONSOLIDATED STATEMENTS OF OPERATIONS</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(U.S. dollars in thousands, except share and per share data)</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(Unaudited)</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00"/>
        <w:gridCol w:w="60"/>
        <w:gridCol w:w="60"/>
        <w:gridCol w:w="1100"/>
        <w:gridCol w:w="60"/>
        <w:gridCol w:w="60"/>
        <w:gridCol w:w="60"/>
        <w:gridCol w:w="1100"/>
        <w:gridCol w:w="95"/>
        <w:gridCol w:w="60"/>
        <w:gridCol w:w="60"/>
        <w:gridCol w:w="1100"/>
        <w:gridCol w:w="60"/>
        <w:gridCol w:w="60"/>
        <w:gridCol w:w="60"/>
        <w:gridCol w:w="1100"/>
        <w:gridCol w:w="110"/>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Six Months Ended</w:t>
            </w:r>
          </w:p>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COST OF REVENUES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OPERATING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ind w:left="318" w:right="0" w:hanging="0"/>
              <w:jc w:val="both"/>
              <w:rPr>
                <w:rFonts w:ascii="Times New Roman;Times;serif" w:hAnsi="Times New Roman;Times;serif"/>
              </w:rPr>
            </w:pPr>
            <w:r>
              <w:rPr>
                <w:rFonts w:ascii="Times New Roman;Times;serif" w:hAnsi="Times New Roman;Times;serif"/>
              </w:rPr>
              <w:t>Research and development,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2,643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3,201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1,520</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0"/>
              <w:jc w:val="both"/>
              <w:rPr>
                <w:rFonts w:ascii="Times New Roman;Times;serif" w:hAnsi="Times New Roman;Times;serif"/>
              </w:rPr>
            </w:pPr>
            <w:r>
              <w:rPr>
                <w:rFonts w:ascii="Times New Roman;Times;serif" w:hAnsi="Times New Roman;Times;serif"/>
              </w:rPr>
              <w:t>General and administrative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2,650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2,588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1,362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1,148</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2,668</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OPERATING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5,231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4,563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2,668</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FINANCIAL EXPENSES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NET LOSS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2,656</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LOSS PER SHARE BASIC AND DILUTED</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0.12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0.06</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ind w:left="318" w:right="0" w:hanging="284"/>
              <w:jc w:val="both"/>
              <w:rPr>
                <w:rFonts w:ascii="Times New Roman;Times;serif" w:hAnsi="Times New Roman;Times;serif"/>
                <w:b/>
              </w:rPr>
            </w:pPr>
            <w:r>
              <w:rPr>
                <w:rFonts w:ascii="Times New Roman;Times;serif" w:hAnsi="Times New Roman;Times;serif"/>
                <w:b/>
              </w:rPr>
              <w:t>WEIGHTED AVERAGE NUMBER OF SHARES OUTSTANDING USED IN COMPUTATION OF BASIC AND DILUTED LOSS PER SHARE</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49,098,428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45,146,415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50,451,232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46,836,700</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b/>
        </w:rPr>
        <w:t>The accompanying notes are an integral part of the</w:t>
      </w:r>
      <w:r>
        <w:rPr>
          <w:rFonts w:ascii="Times New Roman;Times;serif" w:hAnsi="Times New Roman;Times;serif"/>
        </w:rPr>
        <w:t> </w:t>
      </w:r>
      <w:r>
        <w:rPr>
          <w:rFonts w:ascii="Times New Roman;Times;serif" w:hAnsi="Times New Roman;Times;serif"/>
          <w:b/>
        </w:rPr>
        <w:t>unaudited condensed consolidated financial statements.</w:t>
      </w:r>
    </w:p>
    <w:p>
      <w:pPr>
        <w:pStyle w:val="TextBody"/>
        <w:bidi w:val="0"/>
        <w:spacing w:lineRule="auto" w:line="300" w:before="0" w:after="200"/>
        <w:jc w:val="both"/>
        <w:rPr/>
      </w:pPr>
      <w:r>
        <w:rPr/>
        <w:t> </w:t>
      </w:r>
    </w:p>
    <w:p>
      <w:pPr>
        <w:pStyle w:val="TextBody"/>
        <w:bidi w:val="0"/>
        <w:spacing w:lineRule="auto" w:line="300" w:before="0" w:after="0"/>
        <w:jc w:val="center"/>
        <w:rPr/>
      </w:pPr>
      <w:r>
        <w:rPr/>
        <w:t>5</w:t>
      </w:r>
    </w:p>
    <w:p>
      <w:pPr>
        <w:pStyle w:val="HorizontalLine"/>
        <w:bidi w:val="0"/>
        <w:spacing w:before="80" w:after="200"/>
        <w:jc w:val="left"/>
        <w:rPr/>
      </w:pPr>
      <w:r>
        <w:rPr/>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CONSOLIDATED STATEMENTS OF CHANGES IN SHAREHOLDERS' EQUITY</w:t>
      </w:r>
      <w:bookmarkStart w:id="9" w:name="EQUITY"/>
      <w:bookmarkEnd w:id="9"/>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6"/>
        <w:gridCol w:w="60"/>
        <w:gridCol w:w="66"/>
        <w:gridCol w:w="1226"/>
        <w:gridCol w:w="60"/>
        <w:gridCol w:w="60"/>
        <w:gridCol w:w="231"/>
        <w:gridCol w:w="539"/>
        <w:gridCol w:w="60"/>
        <w:gridCol w:w="60"/>
        <w:gridCol w:w="97"/>
        <w:gridCol w:w="1307"/>
        <w:gridCol w:w="60"/>
        <w:gridCol w:w="60"/>
        <w:gridCol w:w="331"/>
        <w:gridCol w:w="1437"/>
        <w:gridCol w:w="60"/>
        <w:gridCol w:w="60"/>
        <w:gridCol w:w="81"/>
        <w:gridCol w:w="1189"/>
        <w:gridCol w:w="80"/>
        <w:gridCol w:w="60"/>
        <w:gridCol w:w="60"/>
        <w:gridCol w:w="755"/>
        <w:gridCol w:w="100"/>
      </w:tblGrid>
      <w:tr>
        <w:trPr/>
        <w:tc>
          <w:tcPr>
            <w:tcW w:w="2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7" w:type="dxa"/>
            <w:gridSpan w:val="14"/>
            <w:tcBorders>
              <w:bottom w:val="single" w:sz="12" w:space="0" w:color="000000"/>
            </w:tcBorders>
            <w:tcMar>
              <w:bottom w:w="30"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Number of shares 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sz w:val="20"/>
              </w:rPr>
            </w:pPr>
            <w:r>
              <w:rPr>
                <w:rFonts w:ascii="Times New Roman;Times;serif" w:hAnsi="Times New Roman;Times;serif"/>
                <w:b/>
                <w:sz w:val="20"/>
              </w:rPr>
              <w:t>Additional paid-in</w:t>
            </w:r>
            <w:r>
              <w:rPr>
                <w:rFonts w:ascii="Times New Roman;Times;serif" w:hAnsi="Times New Roman;Times;serif"/>
                <w:sz w:val="20"/>
              </w:rPr>
              <w:t> </w:t>
            </w: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8"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00"/>
              <w:jc w:val="center"/>
              <w:rPr>
                <w:rFonts w:ascii="Times New Roman;Times;serif" w:hAnsi="Times New Roman;Times;serif"/>
                <w:b/>
                <w:sz w:val="20"/>
              </w:rPr>
            </w:pPr>
            <w:r>
              <w:rPr>
                <w:rFonts w:ascii="Times New Roman;Times;serif" w:hAnsi="Times New Roman;Times;serif"/>
                <w:b/>
                <w:sz w:val="20"/>
              </w:rPr>
              <w:t>Accumulated 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60"/>
              <w:jc w:val="center"/>
              <w:rPr>
                <w:rFonts w:ascii="Times New Roman;Times;serif" w:hAnsi="Times New Roman;Times;serif"/>
                <w:b/>
                <w:sz w:val="20"/>
              </w:rPr>
            </w:pPr>
            <w:r>
              <w:rPr>
                <w:rFonts w:ascii="Times New Roman;Times;serif" w:hAnsi="Times New Roman;Times;serif"/>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60"/>
              <w:jc w:val="center"/>
              <w:rPr>
                <w:rFonts w:ascii="Times New Roman;Times;serif" w:hAnsi="Times New Roman;Times;serif"/>
                <w:b/>
                <w:sz w:val="20"/>
              </w:rPr>
            </w:pPr>
            <w:r>
              <w:rPr>
                <w:rFonts w:ascii="Times New Roman;Times;serif" w:hAnsi="Times New Roman;Times;serif"/>
                <w:b/>
                <w:sz w:val="20"/>
              </w:rPr>
              <w:t>Total</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8" w:right="0" w:hanging="318"/>
              <w:jc w:val="left"/>
              <w:rPr>
                <w:rFonts w:ascii="Times New Roman;Times;serif" w:hAnsi="Times New Roman;Times;serif"/>
                <w:b/>
                <w:sz w:val="20"/>
              </w:rPr>
            </w:pPr>
            <w:r>
              <w:rPr>
                <w:rFonts w:ascii="Times New Roman;Times;serif" w:hAnsi="Times New Roman;Times;serif"/>
                <w:b/>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46,178,630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138,425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(125,366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13,101</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318" w:right="0" w:hanging="5"/>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(10,817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(10,817</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06" w:type="dxa"/>
            <w:tcBorders/>
            <w:shd w:fill="CCEEFF" w:val="clear"/>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394,748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260</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Issuance of Ordinary Shares and warrants, net of issuance costs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2,425,000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3,137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3,137</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142,983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Settlement in share of board members compensation (see note 4)</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148,872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289</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8" w:right="0" w:hanging="5"/>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1,296</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vAlign w:val="center"/>
          </w:tcPr>
          <w:p>
            <w:pPr>
              <w:pStyle w:val="TableContents"/>
              <w:bidi w:val="0"/>
              <w:spacing w:before="0" w:after="283"/>
              <w:jc w:val="left"/>
              <w:rPr/>
            </w:pPr>
            <w:r>
              <w:rPr/>
              <w:t> </w:t>
            </w:r>
          </w:p>
        </w:tc>
        <w:tc>
          <w:tcPr>
            <w:tcW w:w="66" w:type="dxa"/>
            <w:tcBorders>
              <w:bottom w:val="double" w:sz="8" w:space="0" w:color="000000"/>
            </w:tcBorders>
            <w:tcMar>
              <w:bottom w:w="28" w:type="dxa"/>
            </w:tcMar>
            <w:vAlign w:val="center"/>
          </w:tcPr>
          <w:p>
            <w:pPr>
              <w:pStyle w:val="TableContents"/>
              <w:bidi w:val="0"/>
              <w:spacing w:before="0" w:after="283"/>
              <w:jc w:val="left"/>
              <w:rPr/>
            </w:pPr>
            <w:r>
              <w:rPr/>
              <w:t> </w:t>
            </w:r>
          </w:p>
        </w:tc>
        <w:tc>
          <w:tcPr>
            <w:tcW w:w="1226" w:type="dxa"/>
            <w:tcBorders>
              <w:bottom w:val="double" w:sz="8" w:space="0" w:color="000000"/>
            </w:tcBorders>
            <w:tcMar>
              <w:bottom w:w="28" w:type="dxa"/>
            </w:tcMar>
            <w:vAlign w:val="center"/>
          </w:tcPr>
          <w:p>
            <w:pPr>
              <w:pStyle w:val="TableContents"/>
              <w:bidi w:val="0"/>
              <w:spacing w:lineRule="auto" w:line="300" w:before="0" w:after="0"/>
              <w:jc w:val="right"/>
              <w:rPr/>
            </w:pPr>
            <w:r>
              <w:rPr/>
              <w:t>49,290,233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c>
          <w:tcPr>
            <w:tcW w:w="539" w:type="dxa"/>
            <w:tcBorders>
              <w:bottom w:val="double" w:sz="8" w:space="0" w:color="000000"/>
            </w:tcBorders>
            <w:tcMar>
              <w:bottom w:w="28" w:type="dxa"/>
            </w:tcMar>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8" w:space="0" w:color="000000"/>
            </w:tcBorders>
            <w:tcMar>
              <w:bottom w:w="28" w:type="dxa"/>
            </w:tcMar>
            <w:vAlign w:val="center"/>
          </w:tcPr>
          <w:p>
            <w:pPr>
              <w:pStyle w:val="TableContents"/>
              <w:bidi w:val="0"/>
              <w:spacing w:before="0" w:after="283"/>
              <w:jc w:val="left"/>
              <w:rPr/>
            </w:pPr>
            <w:r>
              <w:rPr/>
              <w:t> </w:t>
            </w:r>
          </w:p>
        </w:tc>
        <w:tc>
          <w:tcPr>
            <w:tcW w:w="1307" w:type="dxa"/>
            <w:tcBorders>
              <w:bottom w:val="double" w:sz="8" w:space="0" w:color="000000"/>
            </w:tcBorders>
            <w:tcMar>
              <w:bottom w:w="28" w:type="dxa"/>
            </w:tcMar>
            <w:vAlign w:val="center"/>
          </w:tcPr>
          <w:p>
            <w:pPr>
              <w:pStyle w:val="TableContents"/>
              <w:bidi w:val="0"/>
              <w:spacing w:lineRule="auto" w:line="300" w:before="0" w:after="0"/>
              <w:jc w:val="right"/>
              <w:rPr/>
            </w:pPr>
            <w:r>
              <w:rPr/>
              <w:t>143,407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bottom w:val="double" w:sz="8" w:space="0" w:color="000000"/>
            </w:tcBorders>
            <w:tcMar>
              <w:bottom w:w="28" w:type="dxa"/>
            </w:tcMar>
            <w:vAlign w:val="center"/>
          </w:tcPr>
          <w:p>
            <w:pPr>
              <w:pStyle w:val="TableContents"/>
              <w:bidi w:val="0"/>
              <w:spacing w:before="0" w:after="283"/>
              <w:jc w:val="left"/>
              <w:rPr/>
            </w:pPr>
            <w:r>
              <w:rPr/>
              <w:t> </w:t>
            </w:r>
          </w:p>
        </w:tc>
        <w:tc>
          <w:tcPr>
            <w:tcW w:w="1437" w:type="dxa"/>
            <w:tcBorders>
              <w:bottom w:val="double" w:sz="8" w:space="0" w:color="000000"/>
            </w:tcBorders>
            <w:tcMar>
              <w:bottom w:w="28" w:type="dxa"/>
            </w:tcMar>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8" w:space="0" w:color="000000"/>
            </w:tcBorders>
            <w:tcMar>
              <w:bottom w:w="28" w:type="dxa"/>
            </w:tcMar>
            <w:vAlign w:val="center"/>
          </w:tcPr>
          <w:p>
            <w:pPr>
              <w:pStyle w:val="TableContents"/>
              <w:bidi w:val="0"/>
              <w:spacing w:before="0" w:after="283"/>
              <w:jc w:val="left"/>
              <w:rPr/>
            </w:pPr>
            <w:r>
              <w:rPr/>
              <w:t> </w:t>
            </w:r>
          </w:p>
        </w:tc>
        <w:tc>
          <w:tcPr>
            <w:tcW w:w="1189" w:type="dxa"/>
            <w:tcBorders>
              <w:bottom w:val="double" w:sz="8" w:space="0" w:color="000000"/>
            </w:tcBorders>
            <w:tcMar>
              <w:bottom w:w="28" w:type="dxa"/>
            </w:tcMar>
            <w:vAlign w:val="center"/>
          </w:tcPr>
          <w:p>
            <w:pPr>
              <w:pStyle w:val="TableContents"/>
              <w:bidi w:val="0"/>
              <w:spacing w:lineRule="auto" w:line="300" w:before="0" w:after="0"/>
              <w:jc w:val="right"/>
              <w:rPr/>
            </w:pPr>
            <w:r>
              <w:rPr/>
              <w:t>(136,183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7,266</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0" w:right="332" w:hanging="0"/>
              <w:jc w:val="left"/>
              <w:rPr>
                <w:rFonts w:ascii="Times New Roman;Times;serif" w:hAnsi="Times New Roman;Times;serif"/>
                <w:b/>
                <w:sz w:val="20"/>
              </w:rPr>
            </w:pPr>
            <w:r>
              <w:rPr>
                <w:rFonts w:ascii="Times New Roman;Times;serif" w:hAnsi="Times New Roman;Times;serif"/>
                <w:b/>
                <w:sz w:val="20"/>
              </w:rPr>
              <w:t>BALANCE AT APRIL 1, 2026</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46,622,239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139,516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(128,871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10,687</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(7,312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(7,312</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06" w:type="dxa"/>
            <w:tcBorders/>
            <w:vAlign w:val="center"/>
          </w:tcPr>
          <w:p>
            <w:pPr>
              <w:pStyle w:val="TableContents"/>
              <w:bidi w:val="0"/>
              <w:spacing w:lineRule="auto" w:line="300" w:before="0" w:after="0"/>
              <w:ind w:left="455" w:right="332" w:hanging="136"/>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178,082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130</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455" w:right="332" w:hanging="136"/>
              <w:jc w:val="left"/>
              <w:rPr>
                <w:rFonts w:ascii="Times New Roman;Times;serif" w:hAnsi="Times New Roman;Times;serif"/>
                <w:sz w:val="20"/>
              </w:rPr>
            </w:pPr>
            <w:r>
              <w:rPr>
                <w:rFonts w:ascii="Times New Roman;Times;serif" w:hAnsi="Times New Roman;Times;serif"/>
                <w:sz w:val="20"/>
              </w:rPr>
              <w:t>Issuance of Ordinary Shares and warrants, net of issuance costs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2,425,000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3,137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3,137</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455" w:right="332" w:hanging="136"/>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64,912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624</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vAlign w:val="center"/>
          </w:tcPr>
          <w:p>
            <w:pPr>
              <w:pStyle w:val="TableContents"/>
              <w:bidi w:val="0"/>
              <w:spacing w:before="0" w:after="283"/>
              <w:jc w:val="left"/>
              <w:rPr/>
            </w:pPr>
            <w:r>
              <w:rPr/>
              <w:t> </w:t>
            </w:r>
          </w:p>
        </w:tc>
        <w:tc>
          <w:tcPr>
            <w:tcW w:w="66" w:type="dxa"/>
            <w:tcBorders>
              <w:bottom w:val="double" w:sz="8" w:space="0" w:color="000000"/>
            </w:tcBorders>
            <w:tcMar>
              <w:bottom w:w="28" w:type="dxa"/>
            </w:tcMar>
            <w:vAlign w:val="center"/>
          </w:tcPr>
          <w:p>
            <w:pPr>
              <w:pStyle w:val="TableContents"/>
              <w:bidi w:val="0"/>
              <w:spacing w:before="0" w:after="283"/>
              <w:jc w:val="left"/>
              <w:rPr/>
            </w:pPr>
            <w:r>
              <w:rPr/>
              <w:t> </w:t>
            </w:r>
          </w:p>
        </w:tc>
        <w:tc>
          <w:tcPr>
            <w:tcW w:w="1226" w:type="dxa"/>
            <w:tcBorders>
              <w:bottom w:val="double" w:sz="8" w:space="0" w:color="000000"/>
            </w:tcBorders>
            <w:tcMar>
              <w:bottom w:w="28" w:type="dxa"/>
            </w:tcMar>
            <w:vAlign w:val="center"/>
          </w:tcPr>
          <w:p>
            <w:pPr>
              <w:pStyle w:val="TableContents"/>
              <w:bidi w:val="0"/>
              <w:spacing w:lineRule="auto" w:line="300" w:before="0" w:after="0"/>
              <w:jc w:val="right"/>
              <w:rPr/>
            </w:pPr>
            <w:r>
              <w:rPr/>
              <w:t>49,290,233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c>
          <w:tcPr>
            <w:tcW w:w="539" w:type="dxa"/>
            <w:tcBorders>
              <w:bottom w:val="double" w:sz="8" w:space="0" w:color="000000"/>
            </w:tcBorders>
            <w:tcMar>
              <w:bottom w:w="28" w:type="dxa"/>
            </w:tcMar>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8" w:space="0" w:color="000000"/>
            </w:tcBorders>
            <w:tcMar>
              <w:bottom w:w="28" w:type="dxa"/>
            </w:tcMar>
            <w:vAlign w:val="center"/>
          </w:tcPr>
          <w:p>
            <w:pPr>
              <w:pStyle w:val="TableContents"/>
              <w:bidi w:val="0"/>
              <w:spacing w:before="0" w:after="283"/>
              <w:jc w:val="left"/>
              <w:rPr/>
            </w:pPr>
            <w:r>
              <w:rPr/>
              <w:t> </w:t>
            </w:r>
          </w:p>
        </w:tc>
        <w:tc>
          <w:tcPr>
            <w:tcW w:w="1307" w:type="dxa"/>
            <w:tcBorders>
              <w:bottom w:val="double" w:sz="8" w:space="0" w:color="000000"/>
            </w:tcBorders>
            <w:tcMar>
              <w:bottom w:w="28" w:type="dxa"/>
            </w:tcMar>
            <w:vAlign w:val="center"/>
          </w:tcPr>
          <w:p>
            <w:pPr>
              <w:pStyle w:val="TableContents"/>
              <w:bidi w:val="0"/>
              <w:spacing w:lineRule="auto" w:line="300" w:before="0" w:after="0"/>
              <w:jc w:val="right"/>
              <w:rPr/>
            </w:pPr>
            <w:r>
              <w:rPr/>
              <w:t>143,407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bottom w:val="double" w:sz="8" w:space="0" w:color="000000"/>
            </w:tcBorders>
            <w:tcMar>
              <w:bottom w:w="28" w:type="dxa"/>
            </w:tcMar>
            <w:vAlign w:val="center"/>
          </w:tcPr>
          <w:p>
            <w:pPr>
              <w:pStyle w:val="TableContents"/>
              <w:bidi w:val="0"/>
              <w:spacing w:before="0" w:after="283"/>
              <w:jc w:val="left"/>
              <w:rPr/>
            </w:pPr>
            <w:r>
              <w:rPr/>
              <w:t> </w:t>
            </w:r>
          </w:p>
        </w:tc>
        <w:tc>
          <w:tcPr>
            <w:tcW w:w="1437" w:type="dxa"/>
            <w:tcBorders>
              <w:bottom w:val="double" w:sz="8" w:space="0" w:color="000000"/>
            </w:tcBorders>
            <w:tcMar>
              <w:bottom w:w="28" w:type="dxa"/>
            </w:tcMar>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8" w:space="0" w:color="000000"/>
            </w:tcBorders>
            <w:tcMar>
              <w:bottom w:w="28" w:type="dxa"/>
            </w:tcMar>
            <w:vAlign w:val="center"/>
          </w:tcPr>
          <w:p>
            <w:pPr>
              <w:pStyle w:val="TableContents"/>
              <w:bidi w:val="0"/>
              <w:spacing w:before="0" w:after="283"/>
              <w:jc w:val="left"/>
              <w:rPr/>
            </w:pPr>
            <w:r>
              <w:rPr/>
              <w:t> </w:t>
            </w:r>
          </w:p>
        </w:tc>
        <w:tc>
          <w:tcPr>
            <w:tcW w:w="1189" w:type="dxa"/>
            <w:tcBorders>
              <w:bottom w:val="double" w:sz="8" w:space="0" w:color="000000"/>
            </w:tcBorders>
            <w:tcMar>
              <w:bottom w:w="28" w:type="dxa"/>
            </w:tcMar>
            <w:vAlign w:val="center"/>
          </w:tcPr>
          <w:p>
            <w:pPr>
              <w:pStyle w:val="TableContents"/>
              <w:bidi w:val="0"/>
              <w:spacing w:lineRule="auto" w:line="300" w:before="0" w:after="0"/>
              <w:jc w:val="right"/>
              <w:rPr/>
            </w:pPr>
            <w:r>
              <w:rPr/>
              <w:t>(136,183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7,266</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318" w:right="0" w:hanging="318"/>
              <w:jc w:val="left"/>
              <w:rPr>
                <w:rFonts w:ascii="Times New Roman;Times;serif" w:hAnsi="Times New Roman;Times;serif"/>
                <w:b/>
                <w:sz w:val="20"/>
              </w:rPr>
            </w:pPr>
            <w:r>
              <w:rPr>
                <w:rFonts w:ascii="Times New Roman;Times;serif" w:hAnsi="Times New Roman;Times;serif"/>
                <w:b/>
                <w:sz w:val="20"/>
              </w:rPr>
              <w:t>BALANCE AT JANUARY 1, 2025</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38,837,220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(113,927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8,080</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8" w:right="0" w:hanging="5"/>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(5,223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(5,223</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06" w:type="dxa"/>
            <w:tcBorders/>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149,700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150</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23,952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24</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Issuance of Ordinary Shares under collaboration agreement, net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3,685,226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7,115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7,115</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Issuance of Ordinary Shares under ATM program, net of issuance costs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2,700,000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5,997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5,997</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455" w:right="0" w:hanging="142"/>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56,069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8" w:right="0" w:hanging="5"/>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1,113</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AT JUNE 30, 2025</w:t>
            </w:r>
          </w:p>
        </w:tc>
        <w:tc>
          <w:tcPr>
            <w:tcW w:w="60" w:type="dxa"/>
            <w:tcBorders/>
            <w:vAlign w:val="center"/>
          </w:tcPr>
          <w:p>
            <w:pPr>
              <w:pStyle w:val="TableContents"/>
              <w:bidi w:val="0"/>
              <w:spacing w:before="0" w:after="283"/>
              <w:jc w:val="left"/>
              <w:rPr/>
            </w:pPr>
            <w:r>
              <w:rPr/>
              <w:t> </w:t>
            </w:r>
          </w:p>
        </w:tc>
        <w:tc>
          <w:tcPr>
            <w:tcW w:w="66" w:type="dxa"/>
            <w:tcBorders>
              <w:bottom w:val="double" w:sz="8" w:space="0" w:color="000000"/>
            </w:tcBorders>
            <w:tcMar>
              <w:bottom w:w="28" w:type="dxa"/>
            </w:tcMar>
            <w:vAlign w:val="center"/>
          </w:tcPr>
          <w:p>
            <w:pPr>
              <w:pStyle w:val="TableContents"/>
              <w:bidi w:val="0"/>
              <w:spacing w:before="0" w:after="283"/>
              <w:jc w:val="left"/>
              <w:rPr/>
            </w:pPr>
            <w:r>
              <w:rPr/>
              <w:t> </w:t>
            </w:r>
          </w:p>
        </w:tc>
        <w:tc>
          <w:tcPr>
            <w:tcW w:w="1226" w:type="dxa"/>
            <w:tcBorders>
              <w:bottom w:val="double" w:sz="8" w:space="0" w:color="000000"/>
            </w:tcBorders>
            <w:tcMar>
              <w:bottom w:w="28" w:type="dxa"/>
            </w:tcMar>
            <w:vAlign w:val="center"/>
          </w:tcPr>
          <w:p>
            <w:pPr>
              <w:pStyle w:val="TableContents"/>
              <w:bidi w:val="0"/>
              <w:spacing w:lineRule="auto" w:line="300" w:before="0" w:after="0"/>
              <w:jc w:val="right"/>
              <w:rPr/>
            </w:pPr>
            <w:r>
              <w:rPr/>
              <w:t>45,452,167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c>
          <w:tcPr>
            <w:tcW w:w="539" w:type="dxa"/>
            <w:tcBorders>
              <w:bottom w:val="double" w:sz="8" w:space="0" w:color="000000"/>
            </w:tcBorders>
            <w:tcMar>
              <w:bottom w:w="28" w:type="dxa"/>
            </w:tcMar>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8" w:space="0" w:color="000000"/>
            </w:tcBorders>
            <w:tcMar>
              <w:bottom w:w="28" w:type="dxa"/>
            </w:tcMar>
            <w:vAlign w:val="center"/>
          </w:tcPr>
          <w:p>
            <w:pPr>
              <w:pStyle w:val="TableContents"/>
              <w:bidi w:val="0"/>
              <w:spacing w:before="0" w:after="283"/>
              <w:jc w:val="left"/>
              <w:rPr/>
            </w:pPr>
            <w:r>
              <w:rPr/>
              <w:t> </w:t>
            </w:r>
          </w:p>
        </w:tc>
        <w:tc>
          <w:tcPr>
            <w:tcW w:w="1307" w:type="dxa"/>
            <w:tcBorders>
              <w:bottom w:val="double" w:sz="8" w:space="0" w:color="000000"/>
            </w:tcBorders>
            <w:tcMar>
              <w:bottom w:w="28" w:type="dxa"/>
            </w:tcMar>
            <w:vAlign w:val="center"/>
          </w:tcPr>
          <w:p>
            <w:pPr>
              <w:pStyle w:val="TableContents"/>
              <w:bidi w:val="0"/>
              <w:spacing w:lineRule="auto" w:line="300" w:before="0" w:after="0"/>
              <w:jc w:val="right"/>
              <w:rPr/>
            </w:pPr>
            <w:r>
              <w:rPr/>
              <w:t>136,364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bottom w:val="double" w:sz="8" w:space="0" w:color="000000"/>
            </w:tcBorders>
            <w:tcMar>
              <w:bottom w:w="28" w:type="dxa"/>
            </w:tcMar>
            <w:vAlign w:val="center"/>
          </w:tcPr>
          <w:p>
            <w:pPr>
              <w:pStyle w:val="TableContents"/>
              <w:bidi w:val="0"/>
              <w:spacing w:before="0" w:after="283"/>
              <w:jc w:val="left"/>
              <w:rPr/>
            </w:pPr>
            <w:r>
              <w:rPr/>
              <w:t> </w:t>
            </w:r>
          </w:p>
        </w:tc>
        <w:tc>
          <w:tcPr>
            <w:tcW w:w="1437" w:type="dxa"/>
            <w:tcBorders>
              <w:bottom w:val="double" w:sz="8" w:space="0" w:color="000000"/>
            </w:tcBorders>
            <w:tcMar>
              <w:bottom w:w="28" w:type="dxa"/>
            </w:tcMar>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8" w:space="0" w:color="000000"/>
            </w:tcBorders>
            <w:tcMar>
              <w:bottom w:w="28" w:type="dxa"/>
            </w:tcMar>
            <w:vAlign w:val="center"/>
          </w:tcPr>
          <w:p>
            <w:pPr>
              <w:pStyle w:val="TableContents"/>
              <w:bidi w:val="0"/>
              <w:spacing w:before="0" w:after="283"/>
              <w:jc w:val="left"/>
              <w:rPr/>
            </w:pPr>
            <w:r>
              <w:rPr/>
              <w:t> </w:t>
            </w:r>
          </w:p>
        </w:tc>
        <w:tc>
          <w:tcPr>
            <w:tcW w:w="1189" w:type="dxa"/>
            <w:tcBorders>
              <w:bottom w:val="double" w:sz="8" w:space="0" w:color="000000"/>
            </w:tcBorders>
            <w:tcMar>
              <w:bottom w:w="28" w:type="dxa"/>
            </w:tcMar>
            <w:vAlign w:val="center"/>
          </w:tcPr>
          <w:p>
            <w:pPr>
              <w:pStyle w:val="TableContents"/>
              <w:bidi w:val="0"/>
              <w:spacing w:lineRule="auto" w:line="300" w:before="0" w:after="0"/>
              <w:jc w:val="right"/>
              <w:rPr/>
            </w:pPr>
            <w:r>
              <w:rPr/>
              <w:t>(119,150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17,256</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0" w:right="332" w:hanging="0"/>
              <w:jc w:val="left"/>
              <w:rPr>
                <w:rFonts w:ascii="Times New Roman;Times;serif" w:hAnsi="Times New Roman;Times;serif"/>
                <w:b/>
                <w:sz w:val="20"/>
              </w:rPr>
            </w:pPr>
            <w:r>
              <w:rPr>
                <w:rFonts w:ascii="Times New Roman;Times;serif" w:hAnsi="Times New Roman;Times;serif"/>
                <w:b/>
                <w:sz w:val="20"/>
              </w:rPr>
              <w:t>BALANCE AT APRIL 1, 2025</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45,420,677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135,831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(116,494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19,379</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(2,656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(2,656</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06" w:type="dxa"/>
            <w:tcBorders/>
            <w:vAlign w:val="center"/>
          </w:tcPr>
          <w:p>
            <w:pPr>
              <w:pStyle w:val="TableContents"/>
              <w:bidi w:val="0"/>
              <w:spacing w:lineRule="auto" w:line="300" w:before="0" w:after="0"/>
              <w:ind w:left="455" w:right="332" w:hanging="136"/>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lineRule="auto" w:line="300" w:before="0" w:after="0"/>
              <w:jc w:val="right"/>
              <w:rPr/>
            </w:pPr>
            <w:r>
              <w:rPr/>
              <w:t>23,952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24</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ind w:left="455" w:right="332" w:hanging="136"/>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lineRule="auto" w:line="300" w:before="0" w:after="0"/>
              <w:jc w:val="right"/>
              <w:rPr/>
            </w:pPr>
            <w:r>
              <w:rPr/>
              <w:t>7,538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2106" w:type="dxa"/>
            <w:tcBorders/>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tcMar>
              <w:bottom w:w="28" w:type="dxa"/>
            </w:tcMar>
            <w:vAlign w:val="center"/>
          </w:tcPr>
          <w:p>
            <w:pPr>
              <w:pStyle w:val="TableContents"/>
              <w:bidi w:val="0"/>
              <w:spacing w:lineRule="auto" w:line="300" w:before="0" w:after="0"/>
              <w:jc w:val="right"/>
              <w:rPr/>
            </w:pPr>
            <w:r>
              <w:rPr/>
              <w:t>509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509</w:t>
            </w:r>
          </w:p>
        </w:tc>
        <w:tc>
          <w:tcPr>
            <w:tcW w:w="100" w:type="dxa"/>
            <w:tcBorders/>
            <w:vAlign w:val="center"/>
          </w:tcPr>
          <w:p>
            <w:pPr>
              <w:pStyle w:val="TableContents"/>
              <w:bidi w:val="0"/>
              <w:spacing w:before="0" w:after="283"/>
              <w:jc w:val="left"/>
              <w:rPr/>
            </w:pPr>
            <w:r>
              <w:rPr/>
              <w:t> </w:t>
            </w:r>
          </w:p>
        </w:tc>
      </w:tr>
      <w:tr>
        <w:trPr/>
        <w:tc>
          <w:tcPr>
            <w:tcW w:w="2106"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45,452,167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136,364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(119,150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17,256</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Represents an amount less than one thousand U.S. dollars.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The accompanying notes are an integral part of the</w:t>
      </w:r>
      <w:r>
        <w:rPr>
          <w:rFonts w:ascii="Times New Roman;Times;serif" w:hAnsi="Times New Roman;Times;serif"/>
          <w:sz w:val="20"/>
        </w:rPr>
        <w:t> </w:t>
      </w:r>
      <w:r>
        <w:rPr>
          <w:rFonts w:ascii="Times New Roman;Times;serif" w:hAnsi="Times New Roman;Times;serif"/>
          <w:b/>
          <w:sz w:val="20"/>
        </w:rPr>
        <w:t>unaudited condensed consolidated financial statements.</w:t>
      </w:r>
    </w:p>
    <w:p>
      <w:pPr>
        <w:pStyle w:val="TextBody"/>
        <w:bidi w:val="0"/>
        <w:spacing w:lineRule="auto" w:line="300" w:before="0" w:after="20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6</w:t>
      </w:r>
    </w:p>
    <w:p>
      <w:pPr>
        <w:pStyle w:val="HorizontalLine"/>
        <w:bidi w:val="0"/>
        <w:spacing w:before="80" w:after="200"/>
        <w:jc w:val="left"/>
        <w:rPr/>
      </w:pPr>
      <w:r>
        <w:rPr/>
      </w:r>
    </w:p>
    <w:p>
      <w:pPr>
        <w:pStyle w:val="TextBody"/>
        <w:bidi w:val="0"/>
        <w:spacing w:lineRule="auto" w:line="300" w:before="0" w:after="0"/>
        <w:ind w:left="0" w:right="0" w:hanging="0"/>
        <w:jc w:val="center"/>
        <w:rPr/>
      </w:pPr>
      <w:r>
        <w:rPr/>
        <w:t> </w:t>
      </w:r>
    </w:p>
    <w:p>
      <w:pPr>
        <w:pStyle w:val="TextBody"/>
        <w:bidi w:val="0"/>
        <w:spacing w:lineRule="auto" w:line="300" w:before="0" w:after="0"/>
        <w:jc w:val="center"/>
        <w:rPr>
          <w:b/>
        </w:rPr>
      </w:pPr>
      <w:r>
        <w:rPr>
          <w:rFonts w:ascii="Times New Roman;Times;serif" w:hAnsi="Times New Roman;Times;serif"/>
          <w:b/>
          <w:sz w:val="20"/>
        </w:rPr>
        <w:t>ENTERA BIO LTD.</w:t>
      </w:r>
      <w:r>
        <w:rPr>
          <w:b/>
        </w:rPr>
        <w:t xml:space="preserve"> </w:t>
      </w:r>
    </w:p>
    <w:p>
      <w:pPr>
        <w:pStyle w:val="TextBody"/>
        <w:bidi w:val="0"/>
        <w:spacing w:lineRule="auto" w:line="300" w:before="0" w:after="0"/>
        <w:jc w:val="center"/>
        <w:rPr>
          <w:rFonts w:ascii="Times New Roman;Times;serif" w:hAnsi="Times New Roman;Times;serif"/>
          <w:b/>
          <w:sz w:val="20"/>
        </w:rPr>
      </w:pPr>
      <w:bookmarkStart w:id="10" w:name="FLOWS"/>
      <w:bookmarkEnd w:id="10"/>
      <w:r>
        <w:rPr>
          <w:rFonts w:ascii="Times New Roman;Times;serif" w:hAnsi="Times New Roman;Times;serif"/>
          <w:b/>
          <w:sz w:val="20"/>
        </w:rPr>
        <w:t>CONDENSED CONSOLIDATED STATEMENTS OF CASH FLOWS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8370"/>
        <w:gridCol w:w="60"/>
        <w:gridCol w:w="60"/>
        <w:gridCol w:w="755"/>
        <w:gridCol w:w="80"/>
        <w:gridCol w:w="60"/>
        <w:gridCol w:w="60"/>
        <w:gridCol w:w="680"/>
        <w:gridCol w:w="80"/>
      </w:tblGrid>
      <w:tr>
        <w:trPr/>
        <w:tc>
          <w:tcPr>
            <w:tcW w:w="8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Six months</w:t>
              <w:br/>
              <w:t>ended June 30,</w:t>
            </w:r>
          </w:p>
        </w:tc>
        <w:tc>
          <w:tcPr>
            <w:tcW w:w="80" w:type="dxa"/>
            <w:tcBorders/>
            <w:vAlign w:val="center"/>
          </w:tcPr>
          <w:p>
            <w:pPr>
              <w:pStyle w:val="TableContents"/>
              <w:bidi w:val="0"/>
              <w:spacing w:before="0" w:after="283"/>
              <w:jc w:val="left"/>
              <w:rPr/>
            </w:pPr>
            <w:r>
              <w:rPr/>
              <w:t> </w:t>
            </w:r>
          </w:p>
        </w:tc>
      </w:tr>
      <w:tr>
        <w:trPr/>
        <w:tc>
          <w:tcPr>
            <w:tcW w:w="83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(10,817</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(5,223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15</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1,113</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Finance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18</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before="0" w:after="0"/>
              <w:ind w:left="603" w:right="0" w:firstLine="8"/>
              <w:jc w:val="left"/>
              <w:rPr/>
            </w:pPr>
            <w:r>
              <w:rPr/>
              <w:t> </w:t>
            </w:r>
            <w:r>
              <w:rPr>
                <w:rFonts w:ascii="Times New Roman;Times;serif" w:hAnsi="Times New Roman;Times;serif"/>
                <w:sz w:val="20"/>
              </w:rPr>
              <w:t>Changes in fair value of pre-funded warrants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Issuance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Changes in operating asset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Increase in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(48</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(252</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CCEE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Decrease in 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126</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Increase in 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251</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Increase (decrease) in accrued expenses and other payables and 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917</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(6,554</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(3,035</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(37</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Proceeds from issuance of Ordinary Shares, warrants and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Proceeds from issuance of Ordinary Shares under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6,183</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(171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(261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Issuance of Ordinary Shares, under collaboration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7,190</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Exercise of warrants and options 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174</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10,089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13,286</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INCREASE IN CASH, CASH EQUIVALENTS AND RESTRICTED CASH AND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pPr>
            <w:r>
              <w:rPr/>
              <w:t>3,532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lineRule="auto" w:line="300" w:before="0" w:after="0"/>
              <w:jc w:val="right"/>
              <w:rPr/>
            </w:pPr>
            <w:r>
              <w:rPr/>
              <w:t>10,214</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EFFECT OF EXCHANGE RATE CHANGE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CASH EQUIVALENTS AND RESTRICTED CASH AND DEPOSITS AT BEGINNING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14,973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8,740</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CASH EQUIVALENTS AND RESTRICTED CASH AND DEPOSITS AT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18,526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18,954</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Reconciliation in amounts on consolidated balance sheets: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10,858</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Restricted cash and deposits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7,217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8,096</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Total cash and cash equivalents and restricted cash and deposit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18,526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18,954</w:t>
            </w:r>
          </w:p>
        </w:tc>
        <w:tc>
          <w:tcPr>
            <w:tcW w:w="80" w:type="dxa"/>
            <w:tcBorders/>
            <w:shd w:fill="CCEEFF" w:val="clear"/>
            <w:vAlign w:val="center"/>
          </w:tcPr>
          <w:p>
            <w:pPr>
              <w:pStyle w:val="TableContents"/>
              <w:bidi w:val="0"/>
              <w:spacing w:before="0" w:after="283"/>
              <w:jc w:val="left"/>
              <w:rPr/>
            </w:pPr>
            <w:r>
              <w:rPr/>
              <w:t> </w:t>
            </w:r>
          </w:p>
        </w:tc>
      </w:tr>
      <w:tr>
        <w:trPr/>
        <w:tc>
          <w:tcPr>
            <w:tcW w:w="8370" w:type="dxa"/>
            <w:tcBorders/>
            <w:shd w:fill="FFFF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SUPPLEMENTAL DISCLOSURE OF CASH FLOW TRANSACTIONS: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70"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200"/>
        <w:jc w:val="left"/>
        <w:rPr/>
      </w:pPr>
      <w:r>
        <w:rPr/>
        <w:t> </w:t>
      </w:r>
    </w:p>
    <w:p>
      <w:pPr>
        <w:pStyle w:val="TextBody"/>
        <w:bidi w:val="0"/>
        <w:spacing w:lineRule="auto" w:line="300" w:before="0" w:after="0"/>
        <w:jc w:val="center"/>
        <w:rPr/>
      </w:pPr>
      <w:r>
        <w:rPr/>
        <w:t>7</w:t>
      </w:r>
    </w:p>
    <w:p>
      <w:pPr>
        <w:pStyle w:val="HorizontalLine"/>
        <w:bidi w:val="0"/>
        <w:spacing w:before="8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sz w:val="20"/>
        </w:rPr>
      </w:pPr>
      <w:bookmarkStart w:id="11" w:name="NOTES"/>
      <w:bookmarkEnd w:id="11"/>
      <w:r>
        <w:rPr>
          <w:rFonts w:ascii="Times New Roman;Times;serif" w:hAnsi="Times New Roman;Times;serif"/>
          <w:b/>
          <w:sz w:val="20"/>
        </w:rPr>
        <w:t>NOTES TO CONDENSED CONSOLIDATED FINANCIAL STATEMENTS</w:t>
      </w:r>
      <w:r>
        <w:rPr>
          <w:rFonts w:ascii="Times New Roman;Times;serif" w:hAnsi="Times New Roman;Times;serif"/>
          <w:sz w:val="20"/>
        </w:rPr>
        <w:b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 DESCRIPTION OF BUSINESS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Entera Bio Ltd. (collectively with its subsidiary, the "Company") was incorporated on September 30, 2009 and commenced operation on June 1, 2010. On January 8, 2018, the Company incorporated its wholly owned subsidiary, Entera Bio Inc., in Delaware, United States.</w:t>
            </w:r>
          </w:p>
          <w:p>
            <w:pPr>
              <w:pStyle w:val="TableContents"/>
              <w:bidi w:val="0"/>
              <w:spacing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is focused on developing first-in-class oral  peptides. The Company focuses on underserved, chronic medical conditions for which oral administration of a protein therapy has the potential to significantly shift a treatment paradigm.</w:t>
            </w:r>
          </w:p>
          <w:p>
            <w:pPr>
              <w:pStyle w:val="TableContents"/>
              <w:bidi w:val="0"/>
              <w:spacing w:lineRule="auto" w:line="300"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most advanced product candidate, EB613, oral PTH(1-34), is being developed as the first oral, osteoanabolic (bone building) tablet treatment for post-menopausal women with osteoporosis. In February 2026, the Company submitted to the FDA a clinical amendment which included the EB613 Phase 3 protocol, statistical analysis plan and open-label extension synopsis. In June 2026, the Company received feedback from the FDA on the submitted Phase 3 protocol for EB613 and is planning to initiate the Phase 3 registrational study in late 2026. On July 28, 2026, the Company completed a private placement. The net proceeds from the private placement are expected to be used primarily to support activities related to the planned Phase 3 registrational study of EB613. See Note 8b for additional information.</w:t>
            </w:r>
          </w:p>
          <w:p>
            <w:pPr>
              <w:pStyle w:val="TableContents"/>
              <w:bidi w:val="0"/>
              <w:spacing w:lineRule="auto" w:line="300"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second product candidate, EB612, is being developed as the first oral PTH(1-34) tablet peptide replacement tablet for patients with hypoparathyroidism. In February 2026, the Company amended and restated the 2025 Collaboration Agreement (as defined in Note 6) with OPKO Biologics, Inc., a subsidiary of OPKO Health, Inc. (“OPKO”), to advance the first oral long-acting PTH analog (“LA-PTH”) as a once-daily tablet for patients with hypoparathyroidism.</w:t>
            </w:r>
          </w:p>
          <w:p>
            <w:pPr>
              <w:pStyle w:val="TableContents"/>
              <w:bidi w:val="0"/>
              <w:spacing w:lineRule="auto" w:line="300"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EB618 is being developed pursuant to the Company’s collaboration with OPKO, pursuant to which the companies are advancing a proprietary novel dual agonist GLP-1/glucagon peptide as a once-daily tablet treatment for patients with obesity, metabolic and fibrotic disorders.</w:t>
              <w:br/>
              <w:t> </w:t>
            </w:r>
          </w:p>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rPr>
              <w:t>In addition to its internal product development programs, the Company intends to license its proprietary N-Tab® platform to biopharmaceutical companies for use with their proprietary compounds.</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br/>
            </w:r>
            <w:r>
              <w:rPr>
                <w:rFonts w:ascii="Times New Roman;Times;serif" w:hAnsi="Times New Roman;Times;serif"/>
                <w:sz w:val="20"/>
              </w:rPr>
              <w:t>The Company’s second product candidate, EB612, is being developed as the first oral PTH(1-34) tablet peptide replacement tablet for patients with hypoparathyroidism. In February 2026, the Company amended and restated the 2025 Collaboration Agreement (as defined in Note 6) with OPKO Biologics, Inc., a subsidiary of OPKO Health, Inc. (“OPKO”), to advance the first oral long-acting PTH analog (“LA-PTH”) as a once-daily tablet for patients with hypoparathyroidism.</w:t>
            </w:r>
          </w:p>
          <w:p>
            <w:pPr>
              <w:pStyle w:val="TableContents"/>
              <w:bidi w:val="0"/>
              <w:spacing w:lineRule="auto" w:line="300"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ordinary shares, NIS 0.0000769 par value per share (“ordinary shares”), are listed on the Nasdaq Capital Market under the symbol “ENTX”.</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has incurred recurring operating losses and negative cash flows from operations since inception and expects to continue to incur operating losses as it advances the development of its product candidates. As of June 30, 2026, the Company has incurred an accumulated deficit in the amount of $136.2 million.</w:t>
            </w:r>
          </w:p>
          <w:p>
            <w:pPr>
              <w:pStyle w:val="TableContents"/>
              <w:bidi w:val="0"/>
              <w:spacing w:before="0" w:after="0"/>
              <w:jc w:val="both"/>
              <w:rPr/>
            </w:pPr>
            <w:r>
              <w:rPr/>
              <w:t> </w:t>
            </w:r>
          </w:p>
          <w:p>
            <w:pPr>
              <w:pStyle w:val="TableContents"/>
              <w:bidi w:val="0"/>
              <w:spacing w:lineRule="auto" w:line="300"/>
              <w:jc w:val="both"/>
              <w:rPr>
                <w:rFonts w:ascii="Times New Roman;Times;serif" w:hAnsi="Times New Roman;Times;serif"/>
                <w:sz w:val="20"/>
              </w:rPr>
            </w:pPr>
            <w:r>
              <w:rPr>
                <w:rFonts w:ascii="Times New Roman;Times;serif" w:hAnsi="Times New Roman;Times;serif"/>
                <w:sz w:val="20"/>
              </w:rPr>
              <w:t>As disclosed in Note 8b, in July 2026, the Company completed a private placement financing of an aggregate of 134,803,910 Ordinary Shares and pre-funded warrants to purchase Ordinary Shares resulting in gross proceeds of approximately $275.0 million, before deducting placement agent fees and other related offering expenses. The Company expects to use the net proceeds primarily to support activities related to the initiation of its Phase 3 registrational study of EB613, as well as for general working capital and corporate purposes.</w:t>
            </w:r>
          </w:p>
          <w:p>
            <w:pPr>
              <w:pStyle w:val="TableContents"/>
              <w:bidi w:val="0"/>
              <w:spacing w:lineRule="auto" w:line="300" w:before="0" w:after="0"/>
              <w:ind w:left="0" w:right="0" w:hanging="0"/>
              <w:jc w:val="both"/>
              <w:rPr/>
            </w:pPr>
            <w:r>
              <w:rPr/>
              <w:t> </w:t>
            </w:r>
          </w:p>
        </w:tc>
      </w:tr>
    </w:tbl>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pPr>
      <w:r>
        <w:rPr>
          <w:rStyle w:val="StrongEmphasis"/>
          <w:rFonts w:ascii="Times New Roman;Times;serif" w:hAnsi="Times New Roman;Times;serif"/>
          <w:sz w:val="20"/>
        </w:rPr>
        <w:t>ENTERA BIO LTD.</w:t>
      </w:r>
    </w:p>
    <w:p>
      <w:pPr>
        <w:pStyle w:val="TextBody"/>
        <w:bidi w:val="0"/>
        <w:spacing w:lineRule="auto" w:line="300"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ind w:left="360" w:right="0" w:hanging="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 DESCRIPTION OF BUSINESS (Cont.)</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Following the closing of the private placement and receipt of the related net proceeds, management concluded that substantial doubt about the Company’s ability to continue as a going concern no longer exists. Based on the Company's current operating plan, management believes that the Company's existing cash and cash equivalents, which includes the net proceeds from the private placement, will be sufficient to fund its planned operations for at least twelve months from the date of issuance of these unaudited condensed consolidated financial statements.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0" w:type="dxa"/>
            <w:tcBorders/>
            <w:vAlign w:val="center"/>
          </w:tcPr>
          <w:p>
            <w:pPr>
              <w:pStyle w:val="TableContents"/>
              <w:bidi w:val="0"/>
              <w:spacing w:before="0" w:after="0"/>
              <w:jc w:val="both"/>
              <w:rPr/>
            </w:pPr>
            <w:r>
              <w:rPr>
                <w:rFonts w:ascii="Times New Roman;Times;serif" w:hAnsi="Times New Roman;Times;serif"/>
                <w:sz w:val="20"/>
              </w:rPr>
              <w:t>Since October 2023, Israel has been involved in an armed conflict with Hamas, which has expanded to include hostilities involving Hezbollah, Iran and other armed groups in the region. During the first half of 2026, military activity escalated, including direct military exchanges involving Israel, Iran and the United States, as well as renewed hostilities along Israel's northern border. Although ceasefire arrangements have been announced from time to time, the regional security situation remains uncertain, and there can be no assurance that hostilities will not continue or further escalate.</w:t>
            </w:r>
            <w:r>
              <w:rPr/>
              <w:br/>
              <w:t> </w:t>
            </w:r>
          </w:p>
        </w:tc>
      </w:tr>
    </w:tbl>
    <w:p>
      <w:pPr>
        <w:pStyle w:val="TextBody"/>
        <w:bidi w:val="0"/>
        <w:spacing w:lineRule="auto" w:line="300"/>
        <w:ind w:left="851" w:right="0" w:hanging="0"/>
        <w:jc w:val="both"/>
        <w:rPr>
          <w:rFonts w:ascii="Times New Roman;Times;serif" w:hAnsi="Times New Roman;Times;serif"/>
          <w:sz w:val="20"/>
        </w:rPr>
      </w:pPr>
      <w:r>
        <w:rPr>
          <w:rFonts w:ascii="Times New Roman;Times;serif" w:hAnsi="Times New Roman;Times;serif"/>
          <w:sz w:val="20"/>
        </w:rPr>
        <w:t>The Company's research personnel and members of management are located in Israel, while its clinical, regulatory and supply chain activities are primarily conducted outside Israel. As of June 30, 2026, the Company's operations have remained largely unaffected by these events. For the six months ended June 30, 2026 and 2025, and for the year ended December 31, 2025, the impact of these events on the Company's results of operations and financial condition was not material.</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lineRule="auto" w:line="300"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402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Basis of presentation of the financial statements</w:t>
            </w:r>
          </w:p>
        </w:tc>
      </w:tr>
    </w:tbl>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generally accepted accounting principles in the United States of America ("U.S. GAAP") for interim financial statements. Accordingly, they do not include all of the information and notes required by U.S. GAAP for annual financial statements. In the opinion of management, these unaudited condensed consolidated financial statements reflect all adjustments, which include normal recurring adjustments, necessary for a fair statement of the Company’s consolidated financial position as of June 30, 2026, the consolidated results of operations and statements of changes in shareholders' equity for the three and six months ended June 30, 2026 and 2025, and cash flows for the six months ended June 30, 2026, and 2025.</w:t>
      </w:r>
    </w:p>
    <w:p>
      <w:pPr>
        <w:pStyle w:val="TextBody"/>
        <w:bidi w:val="0"/>
        <w:spacing w:lineRule="auto" w:line="300" w:before="0" w:after="0"/>
        <w:jc w:val="left"/>
        <w:rPr/>
      </w:pPr>
      <w:r>
        <w:rPr/>
        <w:t> </w:t>
      </w:r>
    </w:p>
    <w:p>
      <w:pPr>
        <w:pStyle w:val="TextBody"/>
        <w:bidi w:val="0"/>
        <w:spacing w:lineRule="auto" w:line="300" w:before="0" w:after="0"/>
        <w:ind w:left="851" w:right="0" w:hanging="0"/>
        <w:jc w:val="left"/>
        <w:rPr>
          <w:rFonts w:ascii="Times New Roman;Times;serif" w:hAnsi="Times New Roman;Times;serif"/>
          <w:sz w:val="20"/>
        </w:rPr>
      </w:pPr>
      <w:r>
        <w:rPr>
          <w:rFonts w:ascii="Times New Roman;Times;serif" w:hAnsi="Times New Roman;Times;serif"/>
          <w:sz w:val="20"/>
        </w:rPr>
        <w:t>The consolidated results of operations for the three and six months ended June 30, 2026, are not necessarily indicative of the results to be expected for the year ending December 31, 2026.</w:t>
      </w:r>
    </w:p>
    <w:p>
      <w:pPr>
        <w:pStyle w:val="TextBody"/>
        <w:bidi w:val="0"/>
        <w:spacing w:lineRule="auto" w:line="300" w:before="0" w:after="0"/>
        <w:ind w:left="851" w:right="0" w:hanging="0"/>
        <w:jc w:val="both"/>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should be read in conjunction with the audited consolidated financial statements of the Company as of and for the year ended December 31, 2025, as filed with the Company’s Annual Report on Form 10-K filed with the U.S. Securities and Exchange Commission on March 27, 2026.</w:t>
      </w:r>
    </w:p>
    <w:p>
      <w:pPr>
        <w:pStyle w:val="TextBody"/>
        <w:bidi w:val="0"/>
        <w:spacing w:lineRule="auto" w:line="300"/>
        <w:ind w:left="851" w:right="0" w:hanging="0"/>
        <w:jc w:val="both"/>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2 - SIGNIFICANT ACCOUNTING POLICIES (Cont.)</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26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lineRule="auto" w:line="300" w:before="0" w:after="0"/>
        <w:ind w:left="1440" w:right="0" w:hanging="720"/>
        <w:jc w:val="left"/>
        <w:rPr/>
      </w:pPr>
      <w:r>
        <w:rPr/>
        <w:t> </w:t>
      </w:r>
    </w:p>
    <w:p>
      <w:pPr>
        <w:pStyle w:val="TextBody"/>
        <w:bidi w:val="0"/>
        <w:spacing w:lineRule="auto" w:line="300" w:before="0" w:after="0"/>
        <w:ind w:left="851" w:right="0" w:hanging="0"/>
        <w:jc w:val="both"/>
        <w:rPr/>
      </w:pPr>
      <w:r>
        <w:rPr>
          <w:rFonts w:ascii="Times New Roman;Times;serif" w:hAnsi="Times New Roman;Times;serif"/>
          <w:sz w:val="20"/>
        </w:rPr>
        <w:t xml:space="preserve">Basic loss per share is computed on the basis of net loss for the period divided by the weighted average number of outstanding ordinary shares, pre-funded warrants and vested restricted share units (“RSUs”) during the period. Each outstanding pre-funded warrant has no expiration and is exercisable at a price of NIS </w:t>
      </w:r>
      <w:r>
        <w:rPr/>
        <w:t xml:space="preserve">0.0000769 </w:t>
      </w:r>
      <w:r>
        <w:rPr>
          <w:rFonts w:ascii="Times New Roman;Times;serif" w:hAnsi="Times New Roman;Times;serif"/>
          <w:sz w:val="20"/>
        </w:rPr>
        <w:t>per ordinary share.</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Diluted loss per share is based upon the weighted average number of ordinary shares and ordinary share equivalents outstanding when dilutive. Ordinary share equivalents include outstanding stock options, warrants and restricted share units (“RSUs”), which are included under the treasury stock method when dilutive. The calculation of diluted loss per share does not include options, warrants and RSUs exercisable into 31,712,061 ordinary shares and into 16,562,467 ordinary shares for the six months ended June 30, 2026 and 2025, respectively, and 34,357,716 ordinary shares and 17,068,031 ordinary shares for the three months ended June 30, 2026 and 2025, respectively, because the effect would have been anti-dilutive.</w:t>
      </w:r>
    </w:p>
    <w:p>
      <w:pPr>
        <w:pStyle w:val="TextBody"/>
        <w:bidi w:val="0"/>
        <w:spacing w:lineRule="auto" w:line="300" w:before="0" w:after="0"/>
        <w:ind w:left="851" w:right="0" w:hanging="0"/>
        <w:jc w:val="both"/>
        <w:rPr/>
      </w:pPr>
      <w:r>
        <w:rPr/>
        <w:t> </w:t>
      </w:r>
    </w:p>
    <w:tbl>
      <w:tblPr>
        <w:tblW w:w="1090" w:type="dxa"/>
        <w:jc w:val="left"/>
        <w:tblInd w:w="0" w:type="dxa"/>
        <w:tblLayout w:type="fixed"/>
        <w:tblCellMar>
          <w:top w:w="0" w:type="dxa"/>
          <w:left w:w="0" w:type="dxa"/>
          <w:bottom w:w="0" w:type="dxa"/>
          <w:right w:w="0" w:type="dxa"/>
        </w:tblCellMar>
      </w:tblPr>
      <w:tblGrid>
        <w:gridCol w:w="170"/>
        <w:gridCol w:w="92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2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616"/>
        <w:gridCol w:w="9529"/>
      </w:tblGrid>
      <w:tr>
        <w:trPr/>
        <w:tc>
          <w:tcPr>
            <w:tcW w:w="60" w:type="dxa"/>
            <w:tcBorders/>
            <w:vAlign w:val="center"/>
          </w:tcPr>
          <w:p>
            <w:pPr>
              <w:pStyle w:val="TableContents"/>
              <w:bidi w:val="0"/>
              <w:spacing w:lineRule="auto" w:line="300" w:before="0" w:after="0"/>
              <w:jc w:val="left"/>
              <w:rPr/>
            </w:pPr>
            <w:r>
              <w:rPr/>
              <w:t> </w:t>
            </w:r>
          </w:p>
        </w:tc>
        <w:tc>
          <w:tcPr>
            <w:tcW w:w="61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Level 1:</w:t>
            </w:r>
          </w:p>
        </w:tc>
        <w:tc>
          <w:tcPr>
            <w:tcW w:w="952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Quoted prices (unadjusted) in active markets that are accessible at the measurement date for assets or liabilities. The fair value hierarchy gives the highest priority to Level 1 inputs.</w:t>
            </w:r>
          </w:p>
        </w:tc>
      </w:tr>
    </w:tbl>
    <w:p>
      <w:pPr>
        <w:pStyle w:val="TextBody"/>
        <w:bidi w:val="0"/>
        <w:spacing w:lineRule="auto" w:line="300" w:before="0" w:after="0"/>
        <w:ind w:left="2160" w:right="0" w:hanging="1167"/>
        <w:jc w:val="left"/>
        <w:rPr/>
      </w:pPr>
      <w:r>
        <w:rPr/>
        <w:t> </w:t>
      </w:r>
    </w:p>
    <w:tbl>
      <w:tblPr>
        <w:tblW w:w="10205" w:type="dxa"/>
        <w:jc w:val="left"/>
        <w:tblInd w:w="0" w:type="dxa"/>
        <w:tblLayout w:type="fixed"/>
        <w:tblCellMar>
          <w:top w:w="0" w:type="dxa"/>
          <w:left w:w="0" w:type="dxa"/>
          <w:bottom w:w="0" w:type="dxa"/>
          <w:right w:w="0" w:type="dxa"/>
        </w:tblCellMar>
      </w:tblPr>
      <w:tblGrid>
        <w:gridCol w:w="75"/>
        <w:gridCol w:w="630"/>
        <w:gridCol w:w="9500"/>
      </w:tblGrid>
      <w:tr>
        <w:trPr/>
        <w:tc>
          <w:tcPr>
            <w:tcW w:w="75" w:type="dxa"/>
            <w:tcBorders/>
            <w:vAlign w:val="center"/>
          </w:tcPr>
          <w:p>
            <w:pPr>
              <w:pStyle w:val="TableContents"/>
              <w:bidi w:val="0"/>
              <w:spacing w:lineRule="auto" w:line="300" w:before="0" w:after="0"/>
              <w:jc w:val="left"/>
              <w:rPr/>
            </w:pPr>
            <w:r>
              <w:rPr/>
              <w:t> </w:t>
            </w:r>
          </w:p>
        </w:tc>
        <w:tc>
          <w:tcPr>
            <w:tcW w:w="6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Level 2:</w:t>
            </w:r>
          </w:p>
        </w:tc>
        <w:tc>
          <w:tcPr>
            <w:tcW w:w="95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Observable prices that are based on inputs other than quoted prices included within Level 1 that are observable for the asset or liability, either directly or indirectly.</w:t>
            </w:r>
          </w:p>
        </w:tc>
      </w:tr>
    </w:tbl>
    <w:p>
      <w:pPr>
        <w:pStyle w:val="TextBody"/>
        <w:bidi w:val="0"/>
        <w:spacing w:lineRule="auto" w:line="300" w:before="0" w:after="0"/>
        <w:ind w:left="2160" w:right="0" w:hanging="1167"/>
        <w:jc w:val="left"/>
        <w:rPr/>
      </w:pPr>
      <w:r>
        <w:rPr/>
        <w:t> </w:t>
      </w:r>
    </w:p>
    <w:tbl>
      <w:tblPr>
        <w:tblW w:w="10205" w:type="dxa"/>
        <w:jc w:val="left"/>
        <w:tblInd w:w="0" w:type="dxa"/>
        <w:tblLayout w:type="fixed"/>
        <w:tblCellMar>
          <w:top w:w="0" w:type="dxa"/>
          <w:left w:w="0" w:type="dxa"/>
          <w:bottom w:w="0" w:type="dxa"/>
          <w:right w:w="0" w:type="dxa"/>
        </w:tblCellMar>
      </w:tblPr>
      <w:tblGrid>
        <w:gridCol w:w="75"/>
        <w:gridCol w:w="657"/>
        <w:gridCol w:w="9473"/>
      </w:tblGrid>
      <w:tr>
        <w:trPr/>
        <w:tc>
          <w:tcPr>
            <w:tcW w:w="75" w:type="dxa"/>
            <w:tcBorders/>
            <w:vAlign w:val="center"/>
          </w:tcPr>
          <w:p>
            <w:pPr>
              <w:pStyle w:val="TableContents"/>
              <w:bidi w:val="0"/>
              <w:spacing w:lineRule="auto" w:line="300" w:before="0" w:after="0"/>
              <w:jc w:val="left"/>
              <w:rPr/>
            </w:pPr>
            <w:r>
              <w:rPr/>
              <w:t> </w:t>
            </w:r>
          </w:p>
        </w:tc>
        <w:tc>
          <w:tcPr>
            <w:tcW w:w="65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Level 3:</w:t>
            </w:r>
          </w:p>
        </w:tc>
        <w:tc>
          <w:tcPr>
            <w:tcW w:w="947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Unobservable inputs are used when little or no market data is available. The fair value hierarchy gives the lowest priority to Level 3 inputs.</w:t>
            </w:r>
          </w:p>
        </w:tc>
      </w:tr>
    </w:tbl>
    <w:p>
      <w:pPr>
        <w:pStyle w:val="TextBody"/>
        <w:bidi w:val="0"/>
        <w:spacing w:lineRule="auto" w:line="300"/>
        <w:jc w:val="left"/>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2 - SIGNIFICANT ACCOUNTING POLICIES (Cont.)</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85"/>
        <w:gridCol w:w="54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54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Newly issued and recently adopted accounting pronouncements:</w:t>
            </w:r>
          </w:p>
        </w:tc>
      </w:tr>
    </w:tbl>
    <w:p>
      <w:pPr>
        <w:pStyle w:val="TextBody"/>
        <w:bidi w:val="0"/>
        <w:spacing w:lineRule="auto" w:line="300" w:before="0" w:after="0"/>
        <w:jc w:val="left"/>
        <w:rPr/>
      </w:pPr>
      <w:r>
        <w:rPr/>
        <w:t> </w:t>
      </w:r>
    </w:p>
    <w:p>
      <w:pPr>
        <w:pStyle w:val="TextBody"/>
        <w:bidi w:val="0"/>
        <w:spacing w:lineRule="auto" w:line="300" w:before="0" w:after="0"/>
        <w:ind w:left="851" w:right="0" w:hanging="0"/>
        <w:jc w:val="both"/>
        <w:rPr/>
      </w:pPr>
      <w:r>
        <w:rPr>
          <w:rStyle w:val="StrongEmphasis"/>
          <w:rFonts w:ascii="Times New Roman;Times;serif" w:hAnsi="Times New Roman;Times;serif"/>
          <w:i/>
          <w:sz w:val="20"/>
        </w:rPr>
        <w:t>Recently issued accounting pronouncements not yet adopted</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pStyle w:val="TextBody"/>
        <w:bidi w:val="0"/>
        <w:spacing w:lineRule="auto" w:line="300" w:before="0" w:after="0"/>
        <w:jc w:val="left"/>
        <w:rPr/>
      </w:pPr>
      <w:r>
        <w:rPr/>
        <w:t> </w:t>
      </w:r>
    </w:p>
    <w:p>
      <w:pPr>
        <w:pStyle w:val="TextBody"/>
        <w:bidi w:val="0"/>
        <w:spacing w:lineRule="auto" w:line="300"/>
        <w:ind w:left="851" w:right="0" w:hanging="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 ISSUANCE OF ORDINARY SHARES, PRE-FUNDED WARRANTS AND WARRANTS</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On April 1, 2026, the Company entered into a securities purchase agreement with certain funds affiliated with BVF Partners L.P. (collectively, “BVF”), providing for the private placement to BVF of an aggregate of 7,827,789 units (the “2026 Units”), each 2026 Unit consisting of (i) one ordinary share (or, in lieu thereof, one pre-funded warrant to purchase one ordinary share (the “April 2026 Pre-Funded Warrants”)) and (ii) one warrant to purchase one and one-half ordinary shares (the “2026 Ordinary Share Warrants”), for aggregate proceeds of approximately $10.0 million (or $1.2775 per 2026 Unit). On April 2, 2026 (the “Closing Date”), the Company issued 2,425,000 ordinary shares, 5,402,789 April 2026 Pre-Funded Warrants, and 11,741,683 2026 Ordinary Share Warrants in connection with this offering.</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Each 2026 Ordinary Share Warrant has an exercise price of $1.24 per share, becomes exercisable six months following the Closing Date, expires five years from the date of issuance, and is subject to customary adjustments. The 2026 Ordinary Share Warrants are exercisable only for cash so long as the Company has an effective registration statement registering the shares underlying the 2026 Ordinary Share Warrants. The 2026 Pre-Funded Warrants have an exercise price of NIS 0.0000769 per share, are immediately exercisable and may be exercised at any time and have no expiration date.</w:t>
      </w:r>
    </w:p>
    <w:p>
      <w:pPr>
        <w:pStyle w:val="TextBody"/>
        <w:bidi w:val="0"/>
        <w:spacing w:lineRule="auto" w:line="300" w:before="0" w:after="0"/>
        <w:ind w:left="851" w:right="0" w:hanging="0"/>
        <w:jc w:val="both"/>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 2026 Ordinary Share Warrants were classified as equity upon issuance, as they met the criteria for equity classification under ASC 815-40.</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 April 2026 Pre-Funded Warrants were classified as a financial liability as they do not qualify for equity accounting under the indexation guide of ASC 815-40. The April 2026 Pre-Funded Warrants recorded at fair value on the Closing Date and will be remeasured to fair value at each subsequent reporting date, with changes in fair value recognized in financial expense, net in the statements of operations. The April 2026 Pre-Funded Warrants are classified as Level 2. The fair value was based on the quoted share price. The fair value of the pre-funded warrants as of the issuance date and as of June 30, 2026 was $6,807 and $9,563, respectively. As a result the Company recognized a change in fair value in an amount of $2,755.</w:t>
      </w:r>
    </w:p>
    <w:p>
      <w:pPr>
        <w:pStyle w:val="TextBody"/>
        <w:bidi w:val="0"/>
        <w:spacing w:lineRule="auto" w:line="300"/>
        <w:ind w:left="851" w:right="0" w:hanging="0"/>
        <w:jc w:val="both"/>
        <w:rPr/>
      </w:pPr>
      <w:r>
        <w:rPr/>
        <w:t> </w:t>
      </w:r>
    </w:p>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pPr>
      <w:r>
        <w:rPr>
          <w:rStyle w:val="StrongEmphasis"/>
          <w:rFonts w:ascii="Times New Roman;Times;serif" w:hAnsi="Times New Roman;Times;serif"/>
          <w:sz w:val="20"/>
        </w:rPr>
        <w:t>ENTERA BIO LTD.</w:t>
      </w:r>
    </w:p>
    <w:p>
      <w:pPr>
        <w:pStyle w:val="TextBody"/>
        <w:bidi w:val="0"/>
        <w:spacing w:lineRule="auto" w:line="300"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ind w:left="360" w:right="0" w:hanging="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 ISSUANCE OF ORDINARY SHARES, PRE-FUNDED WARRANTS AND WARRANTS (Cont.)</w:t>
      </w:r>
    </w:p>
    <w:p>
      <w:pPr>
        <w:pStyle w:val="TextBody"/>
        <w:bidi w:val="0"/>
        <w:spacing w:lineRule="auto" w:line="300" w:before="0" w:after="0"/>
        <w:jc w:val="left"/>
        <w:rPr/>
      </w:pPr>
      <w:r>
        <w:rPr/>
        <w:t> </w:t>
      </w:r>
    </w:p>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 proceeds from the private placement were allocated to the April 2026 Pre-Funded Warrants based on their fair value as of the issuance date. The residual proceeds were allocated to the Ordinary Shares and the 2026 Ordinary Share Warrants.</w:t>
      </w:r>
    </w:p>
    <w:p>
      <w:pPr>
        <w:pStyle w:val="TextBody"/>
        <w:bidi w:val="0"/>
        <w:spacing w:lineRule="auto" w:line="300" w:before="0" w:after="0"/>
        <w:ind w:left="840" w:right="0" w:hanging="0"/>
        <w:jc w:val="both"/>
        <w:rPr/>
      </w:pPr>
      <w:r>
        <w:rPr/>
        <w:t> </w:t>
      </w:r>
    </w:p>
    <w:p>
      <w:pPr>
        <w:pStyle w:val="TextBody"/>
        <w:bidi w:val="0"/>
        <w:spacing w:lineRule="auto" w:line="300"/>
        <w:ind w:left="851" w:right="0" w:hanging="0"/>
        <w:jc w:val="both"/>
        <w:rPr>
          <w:rFonts w:ascii="Times New Roman;Times;serif" w:hAnsi="Times New Roman;Times;serif"/>
          <w:sz w:val="20"/>
        </w:rPr>
      </w:pPr>
      <w:r>
        <w:rPr>
          <w:rFonts w:ascii="Times New Roman;Times;serif" w:hAnsi="Times New Roman;Times;serif"/>
          <w:sz w:val="20"/>
        </w:rPr>
        <w:t>The Company had issuance costs of approximately $171 thousand. The portion of issuance costs allocated to the April 2026 Pre-Funded Warrants was recognized immediately in profit or loss, while the remaining portion allocated to the equity components was deducted from Additional Paid-in Capital.</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4 - EQUITY AND SHARE-BASED COMPENSATION</w:t>
      </w:r>
    </w:p>
    <w:p>
      <w:pPr>
        <w:pStyle w:val="TextBody"/>
        <w:bidi w:val="0"/>
        <w:spacing w:lineRule="auto" w:line="300" w:before="0" w:after="0"/>
        <w:jc w:val="left"/>
        <w:rPr/>
      </w:pPr>
      <w:r>
        <w:rPr/>
        <w:t> </w:t>
      </w:r>
    </w:p>
    <w:p>
      <w:pPr>
        <w:pStyle w:val="TextBody"/>
        <w:bidi w:val="0"/>
        <w:spacing w:lineRule="auto" w:line="300" w:before="0" w:after="0"/>
        <w:ind w:left="900" w:right="0" w:hanging="0"/>
        <w:jc w:val="left"/>
        <w:rPr>
          <w:rFonts w:ascii="Times New Roman;Times;serif" w:hAnsi="Times New Roman;Times;serif"/>
          <w:b/>
          <w:sz w:val="20"/>
        </w:rPr>
      </w:pPr>
      <w:r>
        <w:rPr>
          <w:rFonts w:ascii="Times New Roman;Times;serif" w:hAnsi="Times New Roman;Times;serif"/>
          <w:b/>
          <w:sz w:val="20"/>
        </w:rPr>
        <w:t>Changes in Share Capital:</w:t>
        <w:b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January 1, 2026, the Company issued 148,872 ordinary shares to five non-executive members of the board of directors in lieu of cash board fees for fiscal year 2025, which was approved by the Company’s shareholders at a meeting of the Company’s shareholders held on July 31, 2024. The fair value of the ordinary shares on the grant date was $289 thousand.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February and April 2026, two former non-executive board members exercised options for an aggregate of 394,748 ordinary shares for total consideration of $260 thousand.</w:t>
            </w:r>
          </w:p>
        </w:tc>
      </w:tr>
    </w:tbl>
    <w:p>
      <w:pPr>
        <w:pStyle w:val="TextBody"/>
        <w:bidi w:val="0"/>
        <w:spacing w:lineRule="auto" w:line="300"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55"/>
        <w:gridCol w:w="450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5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 to the issuance of ordinary shares to BVF see note 3.</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lineRule="auto" w:line="300"/>
        <w:jc w:val="left"/>
        <w:rPr>
          <w:b/>
        </w:rPr>
      </w:pPr>
      <w:r>
        <w:rPr>
          <w:rFonts w:ascii="Times New Roman;Times;serif" w:hAnsi="Times New Roman;Times;serif"/>
          <w:b/>
          <w:sz w:val="20"/>
        </w:rPr>
        <w:t>NOTE 4 - EQUITY AND SHARE-BASED COMPENSATION (Cont.)</w:t>
      </w:r>
      <w:r>
        <w:rPr>
          <w:b/>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ind w:left="90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lineRule="auto" w:line="300"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six months ended June 30, 2026 the board of directors approved the following options grants:</w:t>
            </w:r>
          </w:p>
        </w:tc>
      </w:tr>
    </w:tbl>
    <w:p>
      <w:pPr>
        <w:pStyle w:val="TextBody"/>
        <w:bidi w:val="0"/>
        <w:spacing w:lineRule="auto" w:line="300" w:before="0" w:after="0"/>
        <w:jc w:val="left"/>
        <w:rPr/>
      </w:pPr>
      <w:r>
        <w:rPr/>
        <w:t> </w:t>
      </w:r>
    </w:p>
    <w:tbl>
      <w:tblPr>
        <w:tblW w:w="8765" w:type="dxa"/>
        <w:jc w:val="left"/>
        <w:tblInd w:w="1440" w:type="dxa"/>
        <w:tblLayout w:type="fixed"/>
        <w:tblCellMar>
          <w:top w:w="28" w:type="dxa"/>
          <w:left w:w="28" w:type="dxa"/>
          <w:bottom w:w="0" w:type="dxa"/>
          <w:right w:w="0" w:type="dxa"/>
        </w:tblCellMar>
      </w:tblPr>
      <w:tblGrid>
        <w:gridCol w:w="1186"/>
        <w:gridCol w:w="1331"/>
        <w:gridCol w:w="1335"/>
        <w:gridCol w:w="1095"/>
        <w:gridCol w:w="1154"/>
        <w:gridCol w:w="1742"/>
        <w:gridCol w:w="922"/>
      </w:tblGrid>
      <w:tr>
        <w:trPr/>
        <w:tc>
          <w:tcPr>
            <w:tcW w:w="1186"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Grant Date</w:t>
            </w:r>
          </w:p>
        </w:tc>
        <w:tc>
          <w:tcPr>
            <w:tcW w:w="1331"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Grantee</w:t>
            </w:r>
          </w:p>
        </w:tc>
        <w:tc>
          <w:tcPr>
            <w:tcW w:w="133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Number of options</w:t>
            </w:r>
          </w:p>
        </w:tc>
        <w:tc>
          <w:tcPr>
            <w:tcW w:w="109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Exercise price</w:t>
            </w:r>
          </w:p>
        </w:tc>
        <w:tc>
          <w:tcPr>
            <w:tcW w:w="1154"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Vesting period</w:t>
            </w:r>
          </w:p>
        </w:tc>
        <w:tc>
          <w:tcPr>
            <w:tcW w:w="1742"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Fair value at the grant date</w:t>
            </w:r>
          </w:p>
        </w:tc>
        <w:tc>
          <w:tcPr>
            <w:tcW w:w="92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Condition</w:t>
            </w:r>
          </w:p>
        </w:tc>
      </w:tr>
      <w:tr>
        <w:trPr/>
        <w:tc>
          <w:tcPr>
            <w:tcW w:w="1186"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January 1, 2026</w:t>
            </w:r>
          </w:p>
        </w:tc>
        <w:tc>
          <w:tcPr>
            <w:tcW w:w="1331"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133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167,525</w:t>
            </w:r>
          </w:p>
        </w:tc>
        <w:tc>
          <w:tcPr>
            <w:tcW w:w="109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pPr>
            <w:r>
              <w:rPr/>
              <w:t>$1.94</w:t>
            </w:r>
          </w:p>
        </w:tc>
        <w:tc>
          <w:tcPr>
            <w:tcW w:w="1154"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pPr>
            <w:r>
              <w:rPr/>
              <w:t>(1)</w:t>
            </w:r>
          </w:p>
        </w:tc>
        <w:tc>
          <w:tcPr>
            <w:tcW w:w="1742"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$227 thousand</w:t>
            </w:r>
          </w:p>
        </w:tc>
        <w:tc>
          <w:tcPr>
            <w:tcW w:w="922"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bidi w:val="0"/>
              <w:spacing w:lineRule="auto" w:line="300" w:before="0" w:after="0"/>
              <w:jc w:val="left"/>
              <w:rPr/>
            </w:pPr>
            <w:r>
              <w:rPr/>
              <w:t>-</w:t>
            </w:r>
          </w:p>
        </w:tc>
      </w:tr>
      <w:tr>
        <w:trPr/>
        <w:tc>
          <w:tcPr>
            <w:tcW w:w="1186" w:type="dxa"/>
            <w:vMerge w:val="restart"/>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May 7, 2026</w:t>
            </w:r>
          </w:p>
        </w:tc>
        <w:tc>
          <w:tcPr>
            <w:tcW w:w="1331"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Employees</w:t>
            </w:r>
          </w:p>
        </w:tc>
        <w:tc>
          <w:tcPr>
            <w:tcW w:w="133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612,000</w:t>
            </w:r>
          </w:p>
        </w:tc>
        <w:tc>
          <w:tcPr>
            <w:tcW w:w="1095" w:type="dxa"/>
            <w:tcBorders>
              <w:top w:val="single" w:sz="2" w:space="0" w:color="000000"/>
              <w:left w:val="single" w:sz="2" w:space="0" w:color="000000"/>
            </w:tcBorders>
            <w:vAlign w:val="center"/>
          </w:tcPr>
          <w:p>
            <w:pPr>
              <w:pStyle w:val="TableContents"/>
              <w:bidi w:val="0"/>
              <w:spacing w:lineRule="auto" w:line="300" w:before="0" w:after="0"/>
              <w:jc w:val="left"/>
              <w:rPr/>
            </w:pPr>
            <w:r>
              <w:rPr/>
              <w:t>$1.37</w:t>
            </w:r>
          </w:p>
        </w:tc>
        <w:tc>
          <w:tcPr>
            <w:tcW w:w="1154" w:type="dxa"/>
            <w:tcBorders>
              <w:top w:val="single" w:sz="2" w:space="0" w:color="000000"/>
              <w:left w:val="single" w:sz="2" w:space="0" w:color="000000"/>
            </w:tcBorders>
            <w:vAlign w:val="center"/>
          </w:tcPr>
          <w:p>
            <w:pPr>
              <w:pStyle w:val="TableContents"/>
              <w:bidi w:val="0"/>
              <w:spacing w:lineRule="auto" w:line="300" w:before="0" w:after="0"/>
              <w:jc w:val="left"/>
              <w:rPr/>
            </w:pPr>
            <w:r>
              <w:rPr/>
              <w:t>(2)</w:t>
            </w:r>
          </w:p>
        </w:tc>
        <w:tc>
          <w:tcPr>
            <w:tcW w:w="1742"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$612 thousand</w:t>
            </w:r>
          </w:p>
        </w:tc>
        <w:tc>
          <w:tcPr>
            <w:tcW w:w="92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left"/>
              <w:rPr/>
            </w:pPr>
            <w:r>
              <w:rPr/>
              <w:t>-</w:t>
            </w:r>
          </w:p>
        </w:tc>
      </w:tr>
      <w:tr>
        <w:trPr/>
        <w:tc>
          <w:tcPr>
            <w:tcW w:w="1186" w:type="dxa"/>
            <w:vMerge w:val="continue"/>
            <w:tcBorders>
              <w:top w:val="single" w:sz="2" w:space="0" w:color="000000"/>
              <w:left w:val="single" w:sz="2" w:space="0" w:color="000000"/>
              <w:bottom w:val="single" w:sz="2" w:space="0" w:color="000000"/>
            </w:tcBorders>
            <w:tcMar>
              <w:bottom w:w="28" w:type="dxa"/>
            </w:tcMar>
            <w:vAlign w:val="center"/>
          </w:tcPr>
          <w:p>
            <w:pPr>
              <w:pStyle w:val="Normal"/>
              <w:bidi w:val="0"/>
              <w:jc w:val="left"/>
              <w:rPr/>
            </w:pPr>
            <w:r>
              <w:rPr/>
            </w:r>
          </w:p>
        </w:tc>
        <w:tc>
          <w:tcPr>
            <w:tcW w:w="1331"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Executive Officers</w:t>
            </w:r>
          </w:p>
        </w:tc>
        <w:tc>
          <w:tcPr>
            <w:tcW w:w="133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1,020,000</w:t>
            </w:r>
          </w:p>
        </w:tc>
        <w:tc>
          <w:tcPr>
            <w:tcW w:w="109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1154"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 (6)</w:t>
            </w:r>
          </w:p>
        </w:tc>
        <w:tc>
          <w:tcPr>
            <w:tcW w:w="1742"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pPr>
            <w:r>
              <w:rPr/>
              <w:t>-</w:t>
            </w:r>
          </w:p>
        </w:tc>
        <w:tc>
          <w:tcPr>
            <w:tcW w:w="922"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bidi w:val="0"/>
              <w:spacing w:lineRule="auto" w:line="300" w:before="0" w:after="0"/>
              <w:jc w:val="left"/>
              <w:rPr/>
            </w:pPr>
            <w:r>
              <w:rPr/>
              <w:t>(3),(4)</w:t>
            </w:r>
          </w:p>
        </w:tc>
      </w:tr>
      <w:tr>
        <w:trPr/>
        <w:tc>
          <w:tcPr>
            <w:tcW w:w="1186" w:type="dxa"/>
            <w:vMerge w:val="continue"/>
            <w:tcBorders>
              <w:top w:val="single" w:sz="2" w:space="0" w:color="000000"/>
              <w:left w:val="single" w:sz="2" w:space="0" w:color="000000"/>
              <w:bottom w:val="single" w:sz="2" w:space="0" w:color="000000"/>
            </w:tcBorders>
            <w:tcMar>
              <w:bottom w:w="28" w:type="dxa"/>
            </w:tcMar>
            <w:vAlign w:val="center"/>
          </w:tcPr>
          <w:p>
            <w:pPr>
              <w:pStyle w:val="Normal"/>
              <w:bidi w:val="0"/>
              <w:jc w:val="left"/>
              <w:rPr/>
            </w:pPr>
            <w:r>
              <w:rPr/>
            </w:r>
          </w:p>
        </w:tc>
        <w:tc>
          <w:tcPr>
            <w:tcW w:w="1331"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providers</w:t>
            </w:r>
          </w:p>
        </w:tc>
        <w:tc>
          <w:tcPr>
            <w:tcW w:w="133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640,000</w:t>
            </w:r>
          </w:p>
        </w:tc>
        <w:tc>
          <w:tcPr>
            <w:tcW w:w="109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1154"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1742" w:type="dxa"/>
            <w:tcBorders>
              <w:top w:val="single" w:sz="2" w:space="0" w:color="000000"/>
              <w:left w:val="single" w:sz="2" w:space="0" w:color="000000"/>
            </w:tcBorders>
            <w:vAlign w:val="center"/>
          </w:tcPr>
          <w:p>
            <w:pPr>
              <w:pStyle w:val="TableContents"/>
              <w:bidi w:val="0"/>
              <w:spacing w:lineRule="auto" w:line="300" w:before="0" w:after="0"/>
              <w:jc w:val="left"/>
              <w:rPr/>
            </w:pPr>
            <w:r>
              <w:rPr/>
              <w:t>-</w:t>
            </w:r>
          </w:p>
        </w:tc>
        <w:tc>
          <w:tcPr>
            <w:tcW w:w="92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left"/>
              <w:rPr/>
            </w:pPr>
            <w:r>
              <w:rPr/>
              <w:t>(3)</w:t>
            </w:r>
          </w:p>
        </w:tc>
      </w:tr>
      <w:tr>
        <w:trPr/>
        <w:tc>
          <w:tcPr>
            <w:tcW w:w="1186" w:type="dxa"/>
            <w:vMerge w:val="continue"/>
            <w:tcBorders>
              <w:top w:val="single" w:sz="2" w:space="0" w:color="000000"/>
              <w:left w:val="single" w:sz="2" w:space="0" w:color="000000"/>
              <w:bottom w:val="single" w:sz="2" w:space="0" w:color="000000"/>
            </w:tcBorders>
            <w:tcMar>
              <w:bottom w:w="28" w:type="dxa"/>
            </w:tcMar>
            <w:vAlign w:val="center"/>
          </w:tcPr>
          <w:p>
            <w:pPr>
              <w:pStyle w:val="Normal"/>
              <w:bidi w:val="0"/>
              <w:jc w:val="left"/>
              <w:rPr/>
            </w:pPr>
            <w:r>
              <w:rPr/>
            </w:r>
          </w:p>
        </w:tc>
        <w:tc>
          <w:tcPr>
            <w:tcW w:w="1331" w:type="dxa"/>
            <w:vMerge w:val="restart"/>
            <w:tcBorders>
              <w:top w:val="single" w:sz="2" w:space="0" w:color="000000"/>
              <w:left w:val="single" w:sz="2" w:space="0" w:color="000000"/>
              <w:bottom w:val="single" w:sz="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133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83,367</w:t>
            </w:r>
          </w:p>
        </w:tc>
        <w:tc>
          <w:tcPr>
            <w:tcW w:w="1095"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1154"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 (6)</w:t>
            </w:r>
          </w:p>
        </w:tc>
        <w:tc>
          <w:tcPr>
            <w:tcW w:w="1742" w:type="dxa"/>
            <w:tcBorders>
              <w:top w:val="single" w:sz="2" w:space="0" w:color="000000"/>
              <w:left w:val="single" w:sz="2" w:space="0" w:color="000000"/>
            </w:tcBorders>
            <w:shd w:fill="CCEEFF" w:val="clear"/>
            <w:vAlign w:val="center"/>
          </w:tcPr>
          <w:p>
            <w:pPr>
              <w:pStyle w:val="TableContents"/>
              <w:bidi w:val="0"/>
              <w:spacing w:lineRule="auto" w:line="300" w:before="0" w:after="0"/>
              <w:jc w:val="left"/>
              <w:rPr/>
            </w:pPr>
            <w:r>
              <w:rPr/>
              <w:t>-</w:t>
            </w:r>
          </w:p>
        </w:tc>
        <w:tc>
          <w:tcPr>
            <w:tcW w:w="922"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bidi w:val="0"/>
              <w:spacing w:lineRule="auto" w:line="300" w:before="0" w:after="0"/>
              <w:jc w:val="left"/>
              <w:rPr/>
            </w:pPr>
            <w:r>
              <w:rPr/>
              <w:t>(3), (5)</w:t>
            </w:r>
          </w:p>
        </w:tc>
      </w:tr>
      <w:tr>
        <w:trPr/>
        <w:tc>
          <w:tcPr>
            <w:tcW w:w="1186" w:type="dxa"/>
            <w:vMerge w:val="continue"/>
            <w:tcBorders>
              <w:top w:val="single" w:sz="2" w:space="0" w:color="000000"/>
              <w:left w:val="single" w:sz="2" w:space="0" w:color="000000"/>
              <w:bottom w:val="single" w:sz="2" w:space="0" w:color="000000"/>
            </w:tcBorders>
            <w:tcMar>
              <w:bottom w:w="28" w:type="dxa"/>
            </w:tcMar>
            <w:vAlign w:val="center"/>
          </w:tcPr>
          <w:p>
            <w:pPr>
              <w:pStyle w:val="Normal"/>
              <w:bidi w:val="0"/>
              <w:jc w:val="left"/>
              <w:rPr/>
            </w:pPr>
            <w:r>
              <w:rPr/>
            </w:r>
          </w:p>
        </w:tc>
        <w:tc>
          <w:tcPr>
            <w:tcW w:w="1331" w:type="dxa"/>
            <w:vMerge w:val="continue"/>
            <w:tcBorders>
              <w:top w:val="single" w:sz="2" w:space="0" w:color="000000"/>
              <w:left w:val="single" w:sz="2" w:space="0" w:color="000000"/>
              <w:bottom w:val="single" w:sz="2" w:space="0" w:color="000000"/>
            </w:tcBorders>
            <w:shd w:fill="CCEEFF" w:val="clear"/>
            <w:tcMar>
              <w:bottom w:w="28" w:type="dxa"/>
            </w:tcMar>
            <w:vAlign w:val="center"/>
          </w:tcPr>
          <w:p>
            <w:pPr>
              <w:pStyle w:val="Normal"/>
              <w:bidi w:val="0"/>
              <w:jc w:val="left"/>
              <w:rPr/>
            </w:pPr>
            <w:r>
              <w:rPr/>
            </w:r>
          </w:p>
        </w:tc>
        <w:tc>
          <w:tcPr>
            <w:tcW w:w="133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86,419</w:t>
            </w:r>
          </w:p>
        </w:tc>
        <w:tc>
          <w:tcPr>
            <w:tcW w:w="1095"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1154"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 (6)</w:t>
            </w:r>
          </w:p>
        </w:tc>
        <w:tc>
          <w:tcPr>
            <w:tcW w:w="1742" w:type="dxa"/>
            <w:tcBorders>
              <w:top w:val="single" w:sz="2" w:space="0" w:color="000000"/>
              <w:left w:val="single" w:sz="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left"/>
              <w:rPr/>
            </w:pPr>
            <w:r>
              <w:rPr/>
              <w:t>(3), (5)</w:t>
            </w:r>
          </w:p>
        </w:tc>
      </w:tr>
      <w:tr>
        <w:trPr/>
        <w:tc>
          <w:tcPr>
            <w:tcW w:w="1186" w:type="dxa"/>
            <w:vMerge w:val="continue"/>
            <w:tcBorders>
              <w:top w:val="single" w:sz="2" w:space="0" w:color="000000"/>
              <w:left w:val="single" w:sz="2" w:space="0" w:color="000000"/>
              <w:bottom w:val="single" w:sz="2" w:space="0" w:color="000000"/>
            </w:tcBorders>
            <w:tcMar>
              <w:bottom w:w="28" w:type="dxa"/>
            </w:tcMar>
            <w:vAlign w:val="center"/>
          </w:tcPr>
          <w:p>
            <w:pPr>
              <w:pStyle w:val="Normal"/>
              <w:bidi w:val="0"/>
              <w:jc w:val="left"/>
              <w:rPr/>
            </w:pPr>
            <w:r>
              <w:rPr/>
            </w:r>
          </w:p>
        </w:tc>
        <w:tc>
          <w:tcPr>
            <w:tcW w:w="1331" w:type="dxa"/>
            <w:vMerge w:val="continue"/>
            <w:tcBorders>
              <w:top w:val="single" w:sz="2" w:space="0" w:color="000000"/>
              <w:left w:val="single" w:sz="2" w:space="0" w:color="000000"/>
              <w:bottom w:val="single" w:sz="2" w:space="0" w:color="000000"/>
            </w:tcBorders>
            <w:shd w:fill="CCEEFF" w:val="clear"/>
            <w:tcMar>
              <w:bottom w:w="28" w:type="dxa"/>
            </w:tcMar>
            <w:vAlign w:val="center"/>
          </w:tcPr>
          <w:p>
            <w:pPr>
              <w:pStyle w:val="Normal"/>
              <w:bidi w:val="0"/>
              <w:jc w:val="left"/>
              <w:rPr/>
            </w:pPr>
            <w:r>
              <w:rPr/>
            </w:r>
          </w:p>
        </w:tc>
        <w:tc>
          <w:tcPr>
            <w:tcW w:w="1335"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40,000</w:t>
            </w:r>
          </w:p>
        </w:tc>
        <w:tc>
          <w:tcPr>
            <w:tcW w:w="1095"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1154"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Immediate</w:t>
            </w:r>
          </w:p>
        </w:tc>
        <w:tc>
          <w:tcPr>
            <w:tcW w:w="1742"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2" w:type="dxa"/>
            <w:tcBorders>
              <w:top w:val="single" w:sz="6" w:space="0" w:color="000000"/>
              <w:left w:val="single" w:sz="6" w:space="0" w:color="000000"/>
              <w:bottom w:val="single" w:sz="6" w:space="0" w:color="000000"/>
              <w:right w:val="single" w:sz="6" w:space="0" w:color="000000"/>
            </w:tcBorders>
            <w:shd w:fill="CCEEFF" w:val="clear"/>
            <w:tcMar>
              <w:bottom w:w="28" w:type="dxa"/>
              <w:right w:w="28" w:type="dxa"/>
            </w:tcMar>
            <w:vAlign w:val="center"/>
          </w:tcPr>
          <w:p>
            <w:pPr>
              <w:pStyle w:val="TableContents"/>
              <w:bidi w:val="0"/>
              <w:spacing w:lineRule="auto" w:line="300" w:before="0" w:after="0"/>
              <w:jc w:val="left"/>
              <w:rPr/>
            </w:pPr>
            <w:r>
              <w:rPr/>
              <w:t>(3), (5)</w:t>
            </w:r>
          </w:p>
        </w:tc>
      </w:tr>
    </w:tbl>
    <w:p>
      <w:pPr>
        <w:pStyle w:val="TextBody"/>
        <w:bidi w:val="0"/>
        <w:spacing w:lineRule="auto" w:line="300" w:before="0" w:after="0"/>
        <w:ind w:left="1440" w:right="0" w:hanging="0"/>
        <w:jc w:val="left"/>
        <w:rPr/>
      </w:pPr>
      <w:r>
        <w:rPr/>
        <w:t> </w:t>
      </w:r>
    </w:p>
    <w:tbl>
      <w:tblPr>
        <w:tblW w:w="3175" w:type="dxa"/>
        <w:jc w:val="left"/>
        <w:tblInd w:w="0" w:type="dxa"/>
        <w:tblLayout w:type="fixed"/>
        <w:tblCellMar>
          <w:top w:w="0" w:type="dxa"/>
          <w:left w:w="0" w:type="dxa"/>
          <w:bottom w:w="0" w:type="dxa"/>
          <w:right w:w="0" w:type="dxa"/>
        </w:tblCellMar>
      </w:tblPr>
      <w:tblGrid>
        <w:gridCol w:w="75"/>
        <w:gridCol w:w="245"/>
        <w:gridCol w:w="28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8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over a period of one year</w:t>
            </w:r>
          </w:p>
        </w:tc>
      </w:tr>
    </w:tbl>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33.33% vest on the first anniversary of the date of grant and the remaining 66.67% of the options vest in eight equal quarterly installments following the first anniversary of the grant date.</w:t>
            </w:r>
          </w:p>
        </w:tc>
      </w:tr>
    </w:tbl>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option grants are subject to the filing of a Form S-8 registration statement registering the ordinary shares underlying such options.</w:t>
            </w:r>
          </w:p>
        </w:tc>
      </w:tr>
    </w:tbl>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500,000 options grant was subject to the approval of the Company’s shareholders which was obtained on July 14, 2026.</w:t>
            </w:r>
          </w:p>
        </w:tc>
      </w:tr>
    </w:tbl>
    <w:tbl>
      <w:tblPr>
        <w:tblW w:w="9040" w:type="dxa"/>
        <w:jc w:val="left"/>
        <w:tblInd w:w="0" w:type="dxa"/>
        <w:tblLayout w:type="fixed"/>
        <w:tblCellMar>
          <w:top w:w="0" w:type="dxa"/>
          <w:left w:w="0" w:type="dxa"/>
          <w:bottom w:w="0" w:type="dxa"/>
          <w:right w:w="0" w:type="dxa"/>
        </w:tblCellMar>
      </w:tblPr>
      <w:tblGrid>
        <w:gridCol w:w="75"/>
        <w:gridCol w:w="245"/>
        <w:gridCol w:w="8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7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grant was subject to the approval of the Company’s shareholders which was obtained on July 14, 2026.</w:t>
            </w:r>
          </w:p>
        </w:tc>
      </w:tr>
    </w:tbl>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the consummation of a Change in Control (as defined in the 2018 Plan) in which the Optionee continues to provide services to the Company on the date of consummation of such Change in Control, then 100% of any unvested Options at the time of consummation of such Change in Control shall become fully vested and exercisable.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May 7, 2026, the board of directors approved the grant of 734,428 RSUs to executive officers and service providers, of which grant 420,559 RSUs were subject to shareholder approval, which was obtained at a meeting of the Company’s shareholders held on July 14, 2026. The RSUs vest in four equal quarterly installments over a one-year period that started on May 1, 2026. The fair value of the RSUs at the date of grant was $1,006 thousand.</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before="0" w:after="0"/>
        <w:jc w:val="left"/>
        <w:rPr/>
      </w:pPr>
      <w:r>
        <w:rPr>
          <w:rStyle w:val="StrongEmphasis"/>
          <w:rFonts w:ascii="Times New Roman;Times;serif" w:hAnsi="Times New Roman;Times;serif"/>
          <w:sz w:val="20"/>
        </w:rPr>
        <w:t>NOTE 4 - EQUITY AND SHARE-BASED COMPENSATION (Cont.)</w:t>
      </w:r>
    </w:p>
    <w:p>
      <w:pPr>
        <w:pStyle w:val="TextBody"/>
        <w:bidi w:val="0"/>
        <w:spacing w:lineRule="auto" w:line="300" w:before="0" w:after="0"/>
        <w:jc w:val="left"/>
        <w:rPr/>
      </w:pPr>
      <w:r>
        <w:rPr/>
        <w:t> </w:t>
      </w:r>
    </w:p>
    <w:p>
      <w:pPr>
        <w:pStyle w:val="TextBody"/>
        <w:bidi w:val="0"/>
        <w:spacing w:lineRule="auto" w:line="300"/>
        <w:ind w:left="900" w:right="0" w:hanging="0"/>
        <w:jc w:val="left"/>
        <w:rPr>
          <w:b/>
        </w:rPr>
      </w:pPr>
      <w:r>
        <w:rPr>
          <w:rFonts w:ascii="Times New Roman;Times;serif" w:hAnsi="Times New Roman;Times;serif"/>
          <w:b/>
          <w:sz w:val="20"/>
        </w:rPr>
        <w:t>Share-based Compensation (Cont.):</w:t>
      </w:r>
      <w:r>
        <w:rPr>
          <w:b/>
        </w:rPr>
        <w:t xml:space="preserve"> </w:t>
      </w:r>
    </w:p>
    <w:p>
      <w:pPr>
        <w:pStyle w:val="TextBody"/>
        <w:bidi w:val="0"/>
        <w:spacing w:lineRule="auto" w:line="300" w:before="0" w:after="0"/>
        <w:ind w:left="90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fair value of each option granted was estimated as of the date of grant using the Black-Scholes option-pricing model, using the following assumptions:</w:t>
            </w:r>
          </w:p>
        </w:tc>
      </w:tr>
    </w:tbl>
    <w:p>
      <w:pPr>
        <w:pStyle w:val="TextBody"/>
        <w:bidi w:val="0"/>
        <w:spacing w:lineRule="auto" w:line="300" w:before="0" w:after="0"/>
        <w:jc w:val="left"/>
        <w:rPr/>
      </w:pPr>
      <w:r>
        <w:rPr/>
        <w:t> </w:t>
      </w:r>
    </w:p>
    <w:tbl>
      <w:tblPr>
        <w:tblW w:w="3774" w:type="dxa"/>
        <w:jc w:val="left"/>
        <w:tblInd w:w="0" w:type="dxa"/>
        <w:tblLayout w:type="fixed"/>
        <w:tblCellMar>
          <w:top w:w="0" w:type="dxa"/>
          <w:left w:w="0" w:type="dxa"/>
          <w:bottom w:w="0" w:type="dxa"/>
          <w:right w:w="0" w:type="dxa"/>
        </w:tblCellMar>
      </w:tblPr>
      <w:tblGrid>
        <w:gridCol w:w="1925"/>
        <w:gridCol w:w="60"/>
        <w:gridCol w:w="87"/>
        <w:gridCol w:w="1642"/>
        <w:gridCol w:w="60"/>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ended June 30, 2026</w:t>
            </w:r>
          </w:p>
        </w:tc>
        <w:tc>
          <w:tcPr>
            <w:tcW w:w="6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1642"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$1.37-$1.94</w:t>
            </w:r>
          </w:p>
        </w:tc>
        <w:tc>
          <w:tcPr>
            <w:tcW w:w="60"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vAlign w:val="center"/>
          </w:tcPr>
          <w:p>
            <w:pPr>
              <w:pStyle w:val="TableContents"/>
              <w:bidi w:val="0"/>
              <w:spacing w:before="0" w:after="283"/>
              <w:jc w:val="left"/>
              <w:rPr/>
            </w:pPr>
            <w:r>
              <w:rPr/>
              <w:t> </w:t>
            </w:r>
          </w:p>
        </w:tc>
        <w:tc>
          <w:tcPr>
            <w:tcW w:w="87" w:type="dxa"/>
            <w:tcBorders>
              <w:bottom w:val="double" w:sz="8" w:space="0" w:color="000000"/>
            </w:tcBorders>
            <w:tcMar>
              <w:bottom w:w="28" w:type="dxa"/>
            </w:tcMar>
            <w:vAlign w:val="center"/>
          </w:tcPr>
          <w:p>
            <w:pPr>
              <w:pStyle w:val="TableContents"/>
              <w:bidi w:val="0"/>
              <w:spacing w:before="0" w:after="283"/>
              <w:jc w:val="left"/>
              <w:rPr/>
            </w:pPr>
            <w:r>
              <w:rPr/>
              <w:t> </w:t>
            </w:r>
          </w:p>
        </w:tc>
        <w:tc>
          <w:tcPr>
            <w:tcW w:w="1642" w:type="dxa"/>
            <w:tcBorders>
              <w:bottom w:val="double" w:sz="8" w:space="0" w:color="000000"/>
            </w:tcBorders>
            <w:tcMar>
              <w:bottom w:w="28" w:type="dxa"/>
            </w:tcMar>
            <w:vAlign w:val="center"/>
          </w:tcPr>
          <w:p>
            <w:pPr>
              <w:pStyle w:val="TableContents"/>
              <w:bidi w:val="0"/>
              <w:spacing w:lineRule="auto" w:line="300" w:before="0" w:after="0"/>
              <w:jc w:val="center"/>
              <w:rPr/>
            </w:pPr>
            <w:r>
              <w:rPr/>
              <w:t>-</w:t>
            </w:r>
          </w:p>
        </w:tc>
        <w:tc>
          <w:tcPr>
            <w:tcW w:w="6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volatility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642"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84.2%-84.8%</w:t>
            </w:r>
          </w:p>
        </w:tc>
        <w:tc>
          <w:tcPr>
            <w:tcW w:w="60" w:type="dxa"/>
            <w:tcBorders/>
            <w:shd w:fill="CCEEFF" w:val="clear"/>
            <w:vAlign w:val="center"/>
          </w:tcPr>
          <w:p>
            <w:pPr>
              <w:pStyle w:val="TableContents"/>
              <w:bidi w:val="0"/>
              <w:spacing w:lineRule="auto" w:line="300" w:before="0" w:after="0"/>
              <w:jc w:val="left"/>
              <w:rPr/>
            </w:pPr>
            <w:r>
              <w:rPr/>
              <w:t> </w:t>
            </w:r>
          </w:p>
        </w:tc>
      </w:tr>
      <w:tr>
        <w:trPr/>
        <w:tc>
          <w:tcPr>
            <w:tcW w:w="1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interest rate </w:t>
            </w:r>
          </w:p>
        </w:tc>
        <w:tc>
          <w:tcPr>
            <w:tcW w:w="60" w:type="dxa"/>
            <w:tcBorders/>
            <w:vAlign w:val="center"/>
          </w:tcPr>
          <w:p>
            <w:pPr>
              <w:pStyle w:val="TableContents"/>
              <w:bidi w:val="0"/>
              <w:spacing w:before="0" w:after="283"/>
              <w:jc w:val="left"/>
              <w:rPr/>
            </w:pPr>
            <w:r>
              <w:rPr/>
              <w:t> </w:t>
            </w:r>
          </w:p>
        </w:tc>
        <w:tc>
          <w:tcPr>
            <w:tcW w:w="87" w:type="dxa"/>
            <w:tcBorders>
              <w:bottom w:val="double" w:sz="8" w:space="0" w:color="000000"/>
            </w:tcBorders>
            <w:tcMar>
              <w:bottom w:w="28" w:type="dxa"/>
            </w:tcMar>
            <w:vAlign w:val="center"/>
          </w:tcPr>
          <w:p>
            <w:pPr>
              <w:pStyle w:val="TableContents"/>
              <w:bidi w:val="0"/>
              <w:spacing w:before="0" w:after="283"/>
              <w:jc w:val="left"/>
              <w:rPr/>
            </w:pPr>
            <w:r>
              <w:rPr/>
              <w:t> </w:t>
            </w:r>
          </w:p>
        </w:tc>
        <w:tc>
          <w:tcPr>
            <w:tcW w:w="1642" w:type="dxa"/>
            <w:tcBorders>
              <w:bottom w:val="double" w:sz="8"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3.74%-4.13%</w:t>
            </w:r>
          </w:p>
        </w:tc>
        <w:tc>
          <w:tcPr>
            <w:tcW w:w="60" w:type="dxa"/>
            <w:tcBorders/>
            <w:vAlign w:val="center"/>
          </w:tcPr>
          <w:p>
            <w:pPr>
              <w:pStyle w:val="TableContents"/>
              <w:bidi w:val="0"/>
              <w:spacing w:lineRule="auto" w:line="300" w:before="0" w:after="0"/>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life - in years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642"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5.3-5.87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 SUPPLEMENTARY FINANCIAL STATEMENT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sheets:</w:t>
      </w:r>
    </w:p>
    <w:p>
      <w:pPr>
        <w:pStyle w:val="TextBody"/>
        <w:bidi w:val="0"/>
        <w:spacing w:lineRule="auto" w:line="300" w:before="0" w:after="0"/>
        <w:jc w:val="left"/>
        <w:rPr/>
      </w:pPr>
      <w:r>
        <w:rPr/>
        <w:t> </w:t>
      </w:r>
    </w:p>
    <w:tbl>
      <w:tblPr>
        <w:tblW w:w="6343" w:type="dxa"/>
        <w:jc w:val="left"/>
        <w:tblInd w:w="900" w:type="dxa"/>
        <w:tblLayout w:type="fixed"/>
        <w:tblCellMar>
          <w:top w:w="0" w:type="dxa"/>
          <w:left w:w="0" w:type="dxa"/>
          <w:bottom w:w="0" w:type="dxa"/>
          <w:right w:w="0" w:type="dxa"/>
        </w:tblCellMar>
      </w:tblPr>
      <w:tblGrid>
        <w:gridCol w:w="4205"/>
        <w:gridCol w:w="60"/>
        <w:gridCol w:w="109"/>
        <w:gridCol w:w="615"/>
        <w:gridCol w:w="60"/>
        <w:gridCol w:w="60"/>
        <w:gridCol w:w="177"/>
        <w:gridCol w:w="997"/>
        <w:gridCol w:w="6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7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Prepaid expenses</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w:t>
            </w:r>
          </w:p>
        </w:tc>
        <w:tc>
          <w:tcPr>
            <w:tcW w:w="6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lineRule="auto" w:line="300" w:before="0" w:after="0"/>
              <w:ind w:left="233" w:right="0" w:hanging="0"/>
              <w:jc w:val="left"/>
              <w:rPr/>
            </w:pPr>
            <w:r>
              <w:rPr/>
              <w:t> </w:t>
            </w:r>
            <w:r>
              <w:rPr>
                <w:rFonts w:ascii="Times New Roman;Times;serif" w:hAnsi="Times New Roman;Times;serif"/>
                <w:sz w:val="20"/>
              </w:rPr>
              <w:t>Receivable in respect of collaborative arrangement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w:t>
            </w:r>
          </w:p>
        </w:tc>
        <w:tc>
          <w:tcPr>
            <w:tcW w:w="60"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ind w:left="233" w:right="0" w:hanging="0"/>
              <w:jc w:val="left"/>
              <w:rPr>
                <w:rFonts w:ascii="Times New Roman;Times;serif" w:hAnsi="Times New Roman;Times;serif"/>
                <w:sz w:val="20"/>
              </w:rPr>
            </w:pPr>
            <w:r>
              <w:rPr>
                <w:rFonts w:ascii="Times New Roman;Times;serif" w:hAnsi="Times New Roman;Times;serif"/>
                <w:sz w:val="20"/>
              </w:rPr>
              <w:t>VAT receivable</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lineRule="auto" w:line="300" w:before="0" w:after="0"/>
              <w:ind w:left="300" w:right="0" w:hanging="0"/>
              <w:jc w:val="both"/>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double" w:sz="8" w:space="0" w:color="000000"/>
            </w:tcBorders>
            <w:tcMar>
              <w:bottom w:w="28" w:type="dxa"/>
            </w:tcMar>
            <w:vAlign w:val="center"/>
          </w:tcPr>
          <w:p>
            <w:pPr>
              <w:pStyle w:val="TableContents"/>
              <w:bidi w:val="0"/>
              <w:spacing w:before="0" w:after="283"/>
              <w:jc w:val="left"/>
              <w:rPr/>
            </w:pPr>
            <w:r>
              <w:rPr/>
              <w:t> </w:t>
            </w:r>
          </w:p>
        </w:tc>
        <w:tc>
          <w:tcPr>
            <w:tcW w:w="6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bottom w:val="double" w:sz="8" w:space="0" w:color="000000"/>
            </w:tcBorders>
            <w:tcMar>
              <w:bottom w:w="28" w:type="dxa"/>
            </w:tcMar>
            <w:vAlign w:val="center"/>
          </w:tcPr>
          <w:p>
            <w:pPr>
              <w:pStyle w:val="TableContents"/>
              <w:bidi w:val="0"/>
              <w:spacing w:before="0" w:after="283"/>
              <w:jc w:val="left"/>
              <w:rPr/>
            </w:pPr>
            <w:r>
              <w:rPr/>
              <w:t> </w:t>
            </w:r>
          </w:p>
        </w:tc>
        <w:tc>
          <w:tcPr>
            <w:tcW w:w="99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415</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900" w:right="0" w:hanging="0"/>
        <w:jc w:val="left"/>
        <w:rPr/>
      </w:pPr>
      <w:r>
        <w:rPr/>
        <w:t> </w:t>
      </w:r>
    </w:p>
    <w:tbl>
      <w:tblPr>
        <w:tblW w:w="5353" w:type="dxa"/>
        <w:jc w:val="left"/>
        <w:tblInd w:w="900" w:type="dxa"/>
        <w:tblLayout w:type="fixed"/>
        <w:tblCellMar>
          <w:top w:w="0" w:type="dxa"/>
          <w:left w:w="0" w:type="dxa"/>
          <w:bottom w:w="0" w:type="dxa"/>
          <w:right w:w="0" w:type="dxa"/>
        </w:tblCellMar>
      </w:tblPr>
      <w:tblGrid>
        <w:gridCol w:w="3215"/>
        <w:gridCol w:w="60"/>
        <w:gridCol w:w="78"/>
        <w:gridCol w:w="646"/>
        <w:gridCol w:w="60"/>
        <w:gridCol w:w="60"/>
        <w:gridCol w:w="128"/>
        <w:gridCol w:w="1046"/>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7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Employees and employees related</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Provision for vacation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Accrued expenses</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726</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Other payables (See Note 6)</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double" w:sz="8" w:space="0" w:color="000000"/>
            </w:tcBorders>
            <w:tcMar>
              <w:bottom w:w="28" w:type="dxa"/>
            </w:tcMar>
            <w:vAlign w:val="center"/>
          </w:tcPr>
          <w:p>
            <w:pPr>
              <w:pStyle w:val="TableContents"/>
              <w:bidi w:val="0"/>
              <w:spacing w:before="0" w:after="283"/>
              <w:jc w:val="left"/>
              <w:rPr/>
            </w:pPr>
            <w:r>
              <w:rPr/>
              <w:t> </w:t>
            </w:r>
          </w:p>
        </w:tc>
        <w:tc>
          <w:tcPr>
            <w:tcW w:w="64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8" w:space="0" w:color="000000"/>
            </w:tcBorders>
            <w:tcMar>
              <w:bottom w:w="28" w:type="dxa"/>
            </w:tcMar>
            <w:vAlign w:val="center"/>
          </w:tcPr>
          <w:p>
            <w:pPr>
              <w:pStyle w:val="TableContents"/>
              <w:bidi w:val="0"/>
              <w:spacing w:before="0" w:after="283"/>
              <w:jc w:val="left"/>
              <w:rPr/>
            </w:pPr>
            <w:r>
              <w:rPr/>
              <w:t> </w:t>
            </w:r>
          </w:p>
        </w:tc>
        <w:tc>
          <w:tcPr>
            <w:tcW w:w="104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1,525</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lineRule="auto" w:line="300" w:before="0" w:after="0"/>
        <w:ind w:left="0" w:right="720" w:hanging="0"/>
        <w:jc w:val="left"/>
        <w:rPr>
          <w:rFonts w:ascii="Times New Roman;Times;serif" w:hAnsi="Times New Roman;Times;serif"/>
          <w:b/>
          <w:sz w:val="20"/>
        </w:rPr>
      </w:pPr>
      <w:r>
        <w:rPr>
          <w:rFonts w:ascii="Times New Roman;Times;serif" w:hAnsi="Times New Roman;Times;serif"/>
          <w:b/>
          <w:sz w:val="20"/>
        </w:rPr>
        <w:t>NOTE 6 - COLLABORATION AND RESEARCH AGREEMENTS</w:t>
      </w:r>
    </w:p>
    <w:p>
      <w:pPr>
        <w:pStyle w:val="TextBody"/>
        <w:bidi w:val="0"/>
        <w:spacing w:lineRule="auto" w:line="300" w:before="0" w:after="0"/>
        <w:ind w:left="567"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March 16, 2025, the Company entered into a collaboration agreement with OPKO (the “2025 Collaboration Agreement”), which is accounted for as a collaboration arrangement within the scope of ASC 808.</w:t>
            </w:r>
          </w:p>
          <w:p>
            <w:pPr>
              <w:pStyle w:val="TableContents"/>
              <w:bidi w:val="0"/>
              <w:spacing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terms of the 2025 Collaboration Agreement, the Company and OPKO have agreed to collaborate with respect to the preclinical and clinical development and decision making related to the oral delivery of a dual agonist GLP-1/glucagon peptide in an oral dosage form using Entera’s N-Tab™ technology platform for the treatment of obesity, metabolic and fibrotic disorders in humans. The Company and OPKO share in the economics and development costs of such program at 40% and 60%, respectively, subject to certain opt-out provisions. In connection with the agreement, the Company issued 3,685,226 ordinary shares to OPKO for aggregate gross proceeds of $8.0 million, which were allocated between equity and the collaboration components of the arrangement. Amounts allocated to the collaboration component are recognized over the period of performance and presented within other liabilities in the consolidated balance sheet.</w:t>
              <w:b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On February 3, 2026, the Company and OPKO amended and restated the 2025 Collaboration Agreement (the “A&amp;R Collaboration Agreement”) to expand the scope of the collaboration to include the preclinical and clinical development of a daily LA-PTH tablet for the treatment of hypoparathyroidism (EB612) and additional indications. Development costs related to the LA-PTH program are shared equally between the parties. Except for the foregoing expansion, the material terms of the 2025 Collaboration Agreement remain unchanged.</w:t>
            </w:r>
          </w:p>
          <w:p>
            <w:pPr>
              <w:pStyle w:val="TableContents"/>
              <w:bidi w:val="0"/>
              <w:spacing w:lineRule="auto" w:line="300"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 the three and six months ended June 30, 2026, the Company recognized net expenses of $641 thousand and $1,164 thousand, respectively relating to the A&amp;R Collaboration Agreement.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7 - SEGMENT INFORMATION</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operates in Israel as a single operating segment. The Company’s Chief Executive Officer is the chief operating decision maker (the “CODM”). The CODM makes decisions on resource allocation, assesses performance of the business and monitors budget versus actual results on a consolidated basis. The CODM reviews the Company's consolidated results of operations through income (loss) before income taxes.</w:t>
            </w:r>
          </w:p>
          <w:p>
            <w:pPr>
              <w:pStyle w:val="TableContents"/>
              <w:bidi w:val="0"/>
              <w:spacing w:before="0" w:after="0"/>
              <w:jc w:val="left"/>
              <w:rPr/>
            </w:pPr>
            <w:r>
              <w:rPr/>
              <w:t> </w:t>
            </w:r>
          </w:p>
        </w:tc>
      </w:tr>
    </w:tbl>
    <w:tbl>
      <w:tblPr>
        <w:tblW w:w="2050" w:type="dxa"/>
        <w:jc w:val="left"/>
        <w:tblInd w:w="0" w:type="dxa"/>
        <w:tblLayout w:type="fixed"/>
        <w:tblCellMar>
          <w:top w:w="0" w:type="dxa"/>
          <w:left w:w="0" w:type="dxa"/>
          <w:bottom w:w="0" w:type="dxa"/>
          <w:right w:w="0" w:type="dxa"/>
        </w:tblCellMar>
      </w:tblPr>
      <w:tblGrid>
        <w:gridCol w:w="75"/>
        <w:gridCol w:w="170"/>
        <w:gridCol w:w="1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Segment information: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bl>
    <w:tbl>
      <w:tblPr>
        <w:tblW w:w="8765" w:type="dxa"/>
        <w:jc w:val="left"/>
        <w:tblInd w:w="1440" w:type="dxa"/>
        <w:tblLayout w:type="fixed"/>
        <w:tblCellMar>
          <w:top w:w="0" w:type="dxa"/>
          <w:left w:w="0" w:type="dxa"/>
          <w:bottom w:w="0" w:type="dxa"/>
          <w:right w:w="0" w:type="dxa"/>
        </w:tblCellMar>
      </w:tblPr>
      <w:tblGrid>
        <w:gridCol w:w="3715"/>
        <w:gridCol w:w="60"/>
        <w:gridCol w:w="177"/>
        <w:gridCol w:w="965"/>
        <w:gridCol w:w="84"/>
        <w:gridCol w:w="84"/>
        <w:gridCol w:w="177"/>
        <w:gridCol w:w="796"/>
        <w:gridCol w:w="60"/>
        <w:gridCol w:w="60"/>
        <w:gridCol w:w="211"/>
        <w:gridCol w:w="948"/>
        <w:gridCol w:w="100"/>
        <w:gridCol w:w="100"/>
        <w:gridCol w:w="211"/>
        <w:gridCol w:w="951"/>
        <w:gridCol w:w="66"/>
      </w:tblGrid>
      <w:tr>
        <w:trPr/>
        <w:tc>
          <w:tcPr>
            <w:tcW w:w="3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3"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6" w:type="dxa"/>
            <w:tcBorders/>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300" w:before="0" w:after="0"/>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lineRule="auto" w:line="300"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lineRule="auto" w:line="300" w:before="0" w:after="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Sub-contractors and consulting expense (EB613)</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5" w:type="dxa"/>
            <w:tcBorders/>
            <w:vAlign w:val="center"/>
          </w:tcPr>
          <w:p>
            <w:pPr>
              <w:pStyle w:val="TableContents"/>
              <w:bidi w:val="0"/>
              <w:spacing w:lineRule="auto" w:line="300" w:before="0" w:after="0"/>
              <w:jc w:val="right"/>
              <w:rPr/>
            </w:pPr>
            <w:r>
              <w:rPr/>
              <w:t>2,334</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300" w:before="0" w:after="0"/>
              <w:jc w:val="right"/>
              <w:rPr/>
            </w:pPr>
            <w:r>
              <w:rPr/>
              <w:t>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lineRule="auto" w:line="300" w:before="0" w:after="0"/>
              <w:jc w:val="right"/>
              <w:rPr/>
            </w:pPr>
            <w:r>
              <w:rPr/>
              <w:t>1,554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1" w:type="dxa"/>
            <w:tcBorders/>
            <w:vAlign w:val="center"/>
          </w:tcPr>
          <w:p>
            <w:pPr>
              <w:pStyle w:val="TableContents"/>
              <w:bidi w:val="0"/>
              <w:spacing w:lineRule="auto" w:line="300" w:before="0" w:after="0"/>
              <w:jc w:val="right"/>
              <w:rPr/>
            </w:pPr>
            <w:r>
              <w:rPr/>
              <w:t>599</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Net expenses related to OPKO Collaboration Agreement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right"/>
              <w:rPr/>
            </w:pPr>
            <w:r>
              <w:rPr/>
              <w:t>1,164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lineRule="auto" w:line="300" w:before="0" w:after="0"/>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lineRule="auto" w:line="300" w:before="0" w:after="0"/>
              <w:jc w:val="right"/>
              <w:rPr/>
            </w:pPr>
            <w:r>
              <w:rPr/>
              <w:t>641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lineRule="auto" w:line="300" w:before="0" w:after="0"/>
              <w:jc w:val="right"/>
              <w:rPr/>
            </w:pPr>
            <w:r>
              <w:rPr/>
              <w:t>120</w:t>
            </w:r>
          </w:p>
        </w:tc>
        <w:tc>
          <w:tcPr>
            <w:tcW w:w="66" w:type="dxa"/>
            <w:tcBorders/>
            <w:shd w:fill="CCEEFF" w:val="clear"/>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Payroll and related expenses</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right"/>
              <w:rPr/>
            </w:pPr>
            <w:r>
              <w:rPr/>
              <w:t>919</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lineRule="auto" w:line="300" w:before="0" w:after="0"/>
              <w:jc w:val="right"/>
              <w:rPr/>
            </w:pPr>
            <w:r>
              <w:rPr/>
              <w:t>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lineRule="auto" w:line="300" w:before="0" w:after="0"/>
              <w:jc w:val="right"/>
              <w:rPr/>
            </w:pPr>
            <w:r>
              <w:rPr/>
              <w:t>484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lineRule="auto" w:line="300" w:before="0" w:after="0"/>
              <w:jc w:val="right"/>
              <w:rPr/>
            </w:pPr>
            <w:r>
              <w:rPr/>
              <w:t>372</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right"/>
              <w:rPr/>
            </w:pPr>
            <w:r>
              <w:rPr/>
              <w:t>690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lineRule="auto" w:line="300" w:before="0" w:after="0"/>
              <w:jc w:val="right"/>
              <w:rPr/>
            </w:pPr>
            <w:r>
              <w:rPr/>
              <w:t>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lineRule="auto" w:line="300" w:before="0" w:after="0"/>
              <w:jc w:val="right"/>
              <w:rPr/>
            </w:pPr>
            <w:r>
              <w:rPr/>
              <w:t>377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lineRule="auto" w:line="300" w:before="0" w:after="0"/>
              <w:jc w:val="right"/>
              <w:rPr/>
            </w:pPr>
            <w:r>
              <w:rPr/>
              <w:t>294</w:t>
            </w:r>
          </w:p>
        </w:tc>
        <w:tc>
          <w:tcPr>
            <w:tcW w:w="66" w:type="dxa"/>
            <w:tcBorders/>
            <w:shd w:fill="CCEEFF" w:val="clear"/>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Rent and related expenses</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right"/>
              <w:rPr/>
            </w:pPr>
            <w:r>
              <w:rPr/>
              <w:t>252</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lineRule="auto" w:line="300" w:before="0" w:after="0"/>
              <w:jc w:val="right"/>
              <w:rPr/>
            </w:pPr>
            <w:r>
              <w:rPr/>
              <w:t>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lineRule="auto" w:line="300" w:before="0" w:after="0"/>
              <w:jc w:val="right"/>
              <w:rPr/>
            </w:pPr>
            <w:r>
              <w:rPr/>
              <w:t>124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lineRule="auto" w:line="300" w:before="0" w:after="0"/>
              <w:jc w:val="right"/>
              <w:rPr/>
            </w:pPr>
            <w:r>
              <w:rPr/>
              <w:t>103</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Other development expenses*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right"/>
              <w:rPr/>
            </w:pPr>
            <w:r>
              <w:rPr/>
              <w:t>93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lineRule="auto" w:line="300" w:before="0" w:after="0"/>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lineRule="auto" w:line="300" w:before="0" w:after="0"/>
              <w:jc w:val="right"/>
              <w:rPr/>
            </w:pPr>
            <w:r>
              <w:rPr/>
              <w:t>21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lineRule="auto" w:line="300" w:before="0" w:after="0"/>
              <w:jc w:val="right"/>
              <w:rPr/>
            </w:pPr>
            <w:r>
              <w:rPr/>
              <w:t>32</w:t>
            </w:r>
          </w:p>
        </w:tc>
        <w:tc>
          <w:tcPr>
            <w:tcW w:w="66" w:type="dxa"/>
            <w:tcBorders/>
            <w:shd w:fill="CCEEFF" w:val="clear"/>
            <w:vAlign w:val="center"/>
          </w:tcPr>
          <w:p>
            <w:pPr>
              <w:pStyle w:val="TableContents"/>
              <w:bidi w:val="0"/>
              <w:spacing w:before="0" w:after="283"/>
              <w:jc w:val="left"/>
              <w:rPr/>
            </w:pPr>
            <w:r>
              <w:rPr/>
              <w:t> </w:t>
            </w:r>
          </w:p>
        </w:tc>
      </w:tr>
      <w:tr>
        <w:trPr/>
        <w:tc>
          <w:tcPr>
            <w:tcW w:w="37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segment expenses**</w:t>
            </w:r>
          </w:p>
        </w:tc>
        <w:tc>
          <w:tcPr>
            <w:tcW w:w="6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4,111</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1,136</w:t>
            </w:r>
          </w:p>
        </w:tc>
        <w:tc>
          <w:tcPr>
            <w:tcW w:w="66" w:type="dxa"/>
            <w:tcBorders/>
            <w:vAlign w:val="center"/>
          </w:tcPr>
          <w:p>
            <w:pPr>
              <w:pStyle w:val="TableContents"/>
              <w:bidi w:val="0"/>
              <w:spacing w:before="0" w:after="283"/>
              <w:jc w:val="left"/>
              <w:rPr/>
            </w:pPr>
            <w:r>
              <w:rPr/>
              <w:t> </w:t>
            </w:r>
          </w:p>
        </w:tc>
      </w:tr>
      <w:tr>
        <w:trPr/>
        <w:tc>
          <w:tcPr>
            <w:tcW w:w="37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Segment net loss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10,817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7,312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2,656</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440" w:right="0" w:hanging="0"/>
        <w:jc w:val="left"/>
        <w:rPr/>
      </w:pPr>
      <w:r>
        <w:rPr/>
        <w:t> </w:t>
      </w:r>
    </w:p>
    <w:p>
      <w:pPr>
        <w:pStyle w:val="TextBody"/>
        <w:bidi w:val="0"/>
        <w:spacing w:lineRule="auto" w:line="300" w:before="0" w:after="0"/>
        <w:ind w:left="900" w:right="0" w:hanging="0"/>
        <w:jc w:val="left"/>
        <w:rPr>
          <w:rFonts w:ascii="Times New Roman;Times;serif" w:hAnsi="Times New Roman;Times;serif"/>
          <w:sz w:val="20"/>
        </w:rPr>
      </w:pPr>
      <w:r>
        <w:rPr>
          <w:rFonts w:ascii="Times New Roman;Times;serif" w:hAnsi="Times New Roman;Times;serif"/>
          <w:sz w:val="20"/>
        </w:rPr>
        <w:t>* Other development expenses include materials and productions and others.</w:t>
      </w:r>
    </w:p>
    <w:p>
      <w:pPr>
        <w:pStyle w:val="TextBody"/>
        <w:bidi w:val="0"/>
        <w:spacing w:lineRule="auto" w:line="300" w:before="0" w:after="0"/>
        <w:jc w:val="left"/>
        <w:rPr/>
      </w:pPr>
      <w:r>
        <w:rPr/>
        <w:t> </w:t>
      </w:r>
    </w:p>
    <w:p>
      <w:pPr>
        <w:pStyle w:val="TextBody"/>
        <w:bidi w:val="0"/>
        <w:spacing w:lineRule="auto" w:line="300"/>
        <w:ind w:left="900" w:right="0" w:hanging="0"/>
        <w:jc w:val="both"/>
        <w:rPr>
          <w:rFonts w:ascii="Times New Roman;Times;serif" w:hAnsi="Times New Roman;Times;serif"/>
          <w:sz w:val="20"/>
        </w:rPr>
      </w:pPr>
      <w:r>
        <w:rPr>
          <w:rFonts w:ascii="Times New Roman;Times;serif" w:hAnsi="Times New Roman;Times;serif"/>
          <w:sz w:val="20"/>
        </w:rPr>
        <w:t>** Other segment expenses mainly related to general and administrative expenses, including payroll and related expenses, share-based compensation, legal and audit fees and others.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EVENTS</w:t>
      </w:r>
    </w:p>
    <w:p>
      <w:pPr>
        <w:pStyle w:val="TextBody"/>
        <w:bidi w:val="0"/>
        <w:spacing w:lineRule="auto" w:line="300" w:before="0" w:after="0"/>
        <w:jc w:val="left"/>
        <w:rPr/>
      </w:pPr>
      <w:r>
        <w:rPr/>
        <w:t> </w:t>
      </w:r>
    </w:p>
    <w:tbl>
      <w:tblPr>
        <w:tblW w:w="9978" w:type="dxa"/>
        <w:jc w:val="left"/>
        <w:tblInd w:w="0" w:type="dxa"/>
        <w:tblLayout w:type="fixed"/>
        <w:tblCellMar>
          <w:top w:w="0" w:type="dxa"/>
          <w:left w:w="0" w:type="dxa"/>
          <w:bottom w:w="0" w:type="dxa"/>
          <w:right w:w="0" w:type="dxa"/>
        </w:tblCellMar>
      </w:tblPr>
      <w:tblGrid>
        <w:gridCol w:w="38"/>
        <w:gridCol w:w="15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On July 14, 2026, the Company's shareholders approved an increase in the Company's authorized shares to 350,000,000.</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July 26, 2026, the Company entered into a securities purchase agreement (the “July 2026 Purchase Agreement”) with certain institutional and accredited investors, including funds affiliated with BVF providing for the private placement (the “July 2026 Private Placement”) of an aggregate of 134,803,910 ordinary shares, or, in lieu thereof, pre-funded warrants to purchase Ordinary Shares (the “July 2026 Pre-Funded Warrants”), at a purchase price of $2.04 per Ordinary Share, for aggregate gross proceeds of approximately $275.0 million, before deducting placement agent fees and other related offering expenses. </w:t>
              <w:br/>
              <w:t> </w:t>
              <w:br/>
              <w:t>On July 28, 2026 (the “Closing Date”), the Company issued 122,961,215 ordinary shares and July 2026 Pre-Funded Warrants to purchase 11,842,695 ordinary shares.</w:t>
            </w:r>
          </w:p>
          <w:p>
            <w:pPr>
              <w:pStyle w:val="TableContents"/>
              <w:bidi w:val="0"/>
              <w:spacing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July 2026 Pre-Funded Warrants have an exercise price of NIS 0.0000769 per ordinary share, are immediately exercisable, do not expire and are subject to customary beneficial ownership limitations and adjustments.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intends to use the net proceeds from the July 2026 Private Placement to support activities related to the initiation of its Phase 3 registrational study of EB613 in postmenopausal women with osteoporosis and for general working capital and corporate purposes.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Pursuant to the July 2026 Purchase Agreement, effective upon the closing of the July 2026 Private Placement, the Company also granted BVF certain rights to designate two nominees to the Company’s board of directors, subject to specified ownership thresholds and other conditions as set forth in the July 2026 Purchase Agreement.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July 2026, certain holders of warrants issued in the Company’s 2023 private placement exercised an aggregate of 431,137 warrants and 906,886 pre-funded warrants for aggregate gross proceeds to the Company of $431 thousand.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On August 5, 2026, the Company issued 107,770 ordinary shares to five non-executive members of the board of directors in lieu of cash board fees for the first quarter and the second quarter of 2026, which was approved by the Company’s shareholders at a meeting of the Company’s shareholders held on July 31,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September 2022, the Company’s shareholders approved to Ms. Miranda Toledano, the Company’s Chief Executive Officer, a grant of options to purchase 200,000 ordinary shares, subject to the occurrence of a triggering event, defined as either (i) the execution of a binding strategic or partnership agreement to fund the Company’s Phase 3 clinical trial or (ii) raising sufficient funding to complete the Company’s Phase 3 clinical trial. Following the closing of the July 2026 Private Placement, the second triggering event was satisfied. On August 5, 2026, the Board of Directors approved the grant of the 200,000 options at an exercise price of $2.81 per share. The options vest over four years, with 25% of the options vest on the first anniversary of the date of grant and the remaining 75% of the options vest in twelve equal quarterly installments following the first anniversary of the grant date.</w:t>
            </w:r>
          </w:p>
        </w:tc>
      </w:tr>
    </w:tbl>
    <w:p>
      <w:pPr>
        <w:pStyle w:val="TextBody"/>
        <w:bidi w:val="0"/>
        <w:spacing w:before="0" w:after="200"/>
        <w:jc w:val="center"/>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2</w:t>
      </w:r>
      <w:bookmarkStart w:id="12" w:name="ITEM2"/>
      <w:bookmarkEnd w:id="12"/>
      <w:r>
        <w:rPr>
          <w:rFonts w:ascii="Times New Roman;Times;serif" w:hAnsi="Times New Roman;Times;serif"/>
          <w:b/>
          <w:sz w:val="20"/>
        </w:rPr>
        <w:t>. MANAGEMENT’S DISCUSSION AND ANALYSIS OF FINANCIAL CONDITION AND RESULTS OF OPERATIONS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The following discussion and analysis provides information we believe is relevant to an assessment and understanding of our results of operations, financial condition, liquidity and cash flows for the periods presented below. This discussion should be read in conjunction with the interim unaudited condensed consolidated financial statements and related notes contained elsewhere in this Quarterly Report, Part II, Item 1A-Risk Factors in this Quarterly Report, and Part I, Item 1A-Risk Factors in our 2025 Annual Report. As discussed in the section above titled “Cautionary Note Regarding Forward-Looking Statements,” the following discussion contains forward-looking statements that are based upon our current expectations, including with respect to our future operations, revenues and operating results. Our actual results may differ materially from those anticipated in such forward-looking statements as a result of various factors. Factors that could cause or contribute to such differences include, but are not limited to, those identified below, and those discussed in the section titled “Risk Factors” included under Part II, Item 1A below, as well as in Part I, Item 1A-Risk Factors in our 2025 Annual Report.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Unless otherwise provided, references to the “Company,” “we,” “us” and “our” refer to Entera Bio Ltd. and its consolidated subsidiary.</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Entera is a clinical stage company focused on developing first-in-class oral peptides.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pStyle w:val="TextBody"/>
        <w:bidi w:val="0"/>
        <w:spacing w:lineRule="auto" w:line="300" w:before="0" w:after="0"/>
        <w:jc w:val="both"/>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 platform, which is designed to simultaneously stabilize large (4kD+) hydrophilic peptides in the gastrointestinal tract and promote their absorption into the bloodstream.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EB613 Program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most advanced product candidate, EB613, oral PTH (1-34), is being developed as the first oral, osteoanabolic (bone building) tablet for osteoporosis. EB613 is intended to provide an oral anabolic treatment earlier in an osteoporosis patient’s journey to increase skeletal mass, reduce the risk of fracture and consequently limit the progression of the disease, and its associated disability and mortality.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placebo controlled, dose ranging Phase 2 study of EB613 tablets (n= 161) met primary (pharmacodynamic/bone turnover biomarker) and secondary endpoints (bone mineral density (“BMD”)). In April 2024, Phase 2 data was published in the Journal of Bone and Mineral Research (JBMR). Our planned Phase 3 registrational program for EB613 is focused on the treatment of postmenopausal women with osteoporosis at high risk of fracture.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Osteoporosis is a chronic, progressive disorder in which bone resorption exceeds formation, resulting in decreased bone strength and increased susceptibility to fracture. The mechanism for low bone mineral density (“BMD”) in postmenopausal women is primary estrogen deficiency, which leads to accelerated bone loss, especially in the first five to ten years after menopause. Postmenopausal women are at higher risk of developing osteoporosis-related fractures, particularly in the hip, spine, and wrist.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Osteoporosis is a major and growing public health issue, responsible for over two million fractures annually in the United States. After age 50, one in three women and one in five men will suffer an osteoporosis-related fracture in their remaining lifetime. Osteoporotic fractures lead to chronic pain, decreased quality of life, increased disability, and contribute to premature death. Studies show that up to 20-24% of hip fracture patients die within one year of the fracture. The total medical cost of osteoporotic fractures is projected to increase from $57 billion in 2018 to $95 billion by 2040, largely due to the aging population.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three approved anabolic drugs, including Forteo®, are indicated for the treatment of very high-risk osteoporosis patients as first line therapy and as second line treatment in osteoporosis patients who cannot tolerate or progress on other osteoporosis drugs. Despite the superior efficacy of anabolic drugs, existing treatments require daily or monthly subcutaneous injections and are estimated to be used in a minority of very high-risk patients.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EB613 is being developed under a 505(b)(2) application to the listed drug, Forteo® (teriparatide SC injection, Eli Lilly), which was first approved by the FDA in 2002 for the treatment of postmenopausal women with osteoporosis at high risk of fracture and later indicated for men with osteoporosis and osteoporosis associated with sustained systemic glucocorticoid therapy.  Forteo® has been in clinical use for over 20 years with a well-established benefit-risk profile.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completed a comprehensive nonclinical and clinical package for the EB613 program, including three Phase 1 comparative studies with Forteo® and three Phase 2 clinical studies. EB613 has been safely administered to a total of 270 study participants, including postmenopausal women with low BMD or osteoporosis (n=118 on EB613, n=43 on placebo), healthy volunteers, and male and female patients with hypoparathyroidism.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 Phase 2, 6-month, 161-patient, placebo-controlled study in postmenopausal women with osteoporosis or low BMD, EB613 produced rapid dose-proportional increases in biochemical markers of bone formation, reductions in markers of bone resorption, and increased lumbar spine, total hip, and femoral neck BMD. At 6 months of treatment, EB613 2.5mg produced comparable total hip BMD increases as those that have been reported for Forteo® at 6 months.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September and April 2025, the effects of EB613 on trabecular and cortical bone indices based on a 3D-Shaper DXA post-hoc analysis of Phase 2 results were presented at the American Society for Bone and Mineral Research (“ASBMR”) 2025 Annual Meeting and at the 2025 World Congress on Osteoporosis (WCO-IOF-ESCEO), respectively. The data using 3D-DXA modelling showed evidence of an early effect on both trabecular and cortical bone of the proximal femur. Mechanistically, the findings suggest that bone strengthening and fracture resistance may occur rapidly with EB613.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October 2025, we reported clinical data from a post-hoc analysis of our Phase 2 trial of EB613 at the 2025 North American Menopause Society (NAMS) Annual Meeting in a poster presentation titled “EB613 (Oral PTH[1-34] Tablets) Increases BMD Over Six Months in Early Postmenopausal Women with Low Bone Mass or Osteoporosis: A Phase 2 Randomized Trial (P-66)”. In this analysis of the Phase 2 data, EB613 produced significant and consistent gains in BMD at the spine, femoral neck and hip in women within 10 years of menopause and in women more than 10 years post-menopause.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Since 2023, we have advanced a simplified single-tablet formulation of EB613 that builds on clinical experience with the multi-tablet formulation which was used in Phase 1 and Phase 2 clinical studies and a new generation of our N-Tab® platform. At the ASBMR Annual Meeting in September 2025, preclinical data for EB613 single tablet formulation from a cross-over pharmacokinetic mini-pig study was presented.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June 2026, we reported comparative, crossover Phase 1 data evaluating single-tablet and multi-tablet oral EB613 with Forteo® (teriparatide SC injection, Eli Lilly). The oral presentation “Transforming Anabolic Treatments for Osteoporosis: New Clinical Data Supports a Single EB613 Tablet [Oral PTH(1-34)] as the Final Candidate for a Phase 3 Study” was presented as a Late-Breaking Oral Presentation at ENDO 2026. The single-tablet EB613 showed a PK profile comparable to multi-tablet EB613, with similar Cmax, Tmax, and total systemic exposure (AUC). The AUC of single tablet and multi-tablet EB613 was comparable with Forteo®, exhibiting a slightly shorter duration of exposure, which is consistent with prior Phase 1 studies. Comparable calcemic effects (serum calcium) and consistent suppression of endogenous PTH(1-84) were shown for both oral EB613 treatments and Forteo®. Finally, the safety profile of EB613 was consistent with Forteo®, with no drug-related serious adverse events; all other adverse events were mild and resolved with no action taken. These data support advancing single-tablet EB613 into Entera’s planned Phase 3 study of EB613 in postmenopausal women with osteoporosis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Regulatory Background</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Initial approvals of drugs for the treatment of osteoporosis have historically required a placebo-controlled trial demonstrating reduction in the risk of fractures as the primary outcome measure in women with postmenopausal osteoporosis. The regulatory requirement for using fracture as the primary efficacy endpoint is challenging due to the patient types who would need to be studied: (1) very high risk patients may be randomized to placebo in a clinical trial, which poses an ethical concern; and (2) evaluation of moderate risk patients would require a very large sample size to evaluate treatment effectiveness.  The last drug approval for osteoporosis occurred in 2019.</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United States, the Foundation for the National Institute of Health-American Society for Bone and Mineral Research-Study to Advance BMD as a Regulatory Endpoint (FNIH-ASBMR-SABRE, previously known as the FNIH-Bone Quality Project [FNIH-BQP], hereinafter “SABRE”) was launched in 2013. This initiative was established as a public-private partnership with the FDA to study whether change in BMD at the lumbar spine, total hip or femoral neck in a placebo-controlled trial of an osteoporosis drug was predictive of vertebral, nonvertebral, hip and all clinical fracture risk reduction.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Since the end of our Phase 2 Meeting in December 2021, we have engaged in FDA Type C, D, and A Meetings in 2022, 2023, 2024, and 2025 to obtain clarity and alignment on total hip BMD as a primary endpoint and an appropriate data package to support a new drug application (“NDA”) for EB613 under a 505(b)(2) application.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Following Type C and Type D meetings with the FDA in March 2023, we announced the FDA’s concurrence that a 2-year, placebo-controlled phase 3 study with total hip BMD as primary endpoint could support an NDA for EB613; however the SABRE BMD endpoint remained unqualified as a surrogate endpoint by FDA at that time. On the same day, we announced that we planned to continue our dialogue with the FDA and await the final qualification of the SABRE qualification and FDA’s guidance on the statistical evaluation of our BMD endpoint before initiating a Phase 3 study for EB613.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March 2024, the ASBMR announced that the FDA had communicated to the SABRE project team that a ruling to qualify the treatment-related change in BMD as a surrogate endpoint for fractures in future trials of new anti-osteoporosis drugs would be provided within 10 months.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May 2025, as part of our scientific bridging, we received a written concurrence from the FDA that dedicated oral carcinogenicity studies are not warranted for EB613 given the totality of evidence generated from the literature and nonclinical studies conducted with EB613.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June 2025, we received a written concurrence from the FDA that comprehensive nonclinical developmental and reproductive toxicity (DART) studies are not required given the totality of evidence generated from Forteo®, published literature, and EB613 nonclinical studies.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July 2025, we announced that, in a written response to a Type A meeting request, the FDA agreed that an NDA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December 2025, the FDA released the Determination for Qualification of BMD qualifying total hip BMD as a surrogate efficacy endpoint for fracture that could be used in future studies of new anti-osteoporosis therapies.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February 2026, we submitted to the FDA a clinical amendment that included a streamlined EB613 Phase 3 protocol to evaluate the percentage change in total hip BMD from baseline to month 12 as the primary endpoint, statistical analysis plan and open-label extension synopsis.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June 2026, we announced that The FDA accepted our plan to conduct a single, randomized, double-blind, placebo-controlled, Phase 3 trial in approximately 750 postmenopausal women with osteoporosis, with a primary endpoint of percent change from baseline in total hip BMD at Month 12 to support a potential New Drug Application (NDA) submission for EB613 for the treatment of women with post-menopausal osteoporosis. The proposed NDA package will also include Entera’s scientific bridge analysis with Forteo® (teriparatide SC injection, Eli Lilly) under the 505(b)(2) pathway, and a transiliac crest bone biopsy sub-study in a subset of patients.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FDA also agreed with Entera’s proposal to continue following the randomized patients out to 24 months in an open-label extension study under a separate protocol. Entera will plan to submit data through up to 18 months as part of the 120-day safety update to its NDA. Additionally, Entera will plan to submit the complete 2-year data upon completion of the open-label extension study to characterize further the durability of the treatment effect, safety, and sequence data for EB613 followed by a standard anti-resorptive therapy for 12 months.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registrational study is powered to demonstrate EB613’s clinical effectiveness with projected increases in total hip BMD that are comparable to reported outcomes for Forteo® at 12 months, changes associated with a 60% to 80% relative reduction in vertebral fracture risk. We plan to initiate the registrational program for EB613 in late 2026.</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EB612 Program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product candidate, EB612, is being developed as the first oral PTH(1-34) tablet peptide replacement therapy for patients with hypoparathyroidism. </w:t>
      </w:r>
    </w:p>
    <w:p>
      <w:pPr>
        <w:pStyle w:val="TextBody"/>
        <w:bidi w:val="0"/>
        <w:spacing w:lineRule="auto" w:line="300" w:before="0" w:after="0"/>
        <w:jc w:val="both"/>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In December 2025, we announced new in vivo PK/PD data supporting the development of a proprietary long-acting PTH (“LA-PTH”) analog utilizing our N-Tab® platform.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w:t>
        <w:br/>
        <w:t> </w:t>
        <w:br/>
        <w:t>In June 2026, at ENDO 2026, we presented preclinical data for EB612 from three animal models — a thyroparathyroidectomized (TPTx) rat model, a minipig model and a non-human primate model — showing sustained increases in serum calcium consistent with clinically validated injectable PTH-replacement therapies for hypoparathyroidism, and no safety concerns identified.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advancing the EB612 program into IND enabling studies and plan to submit an IND application to the FDA in the first half of 2027.</w:t>
      </w:r>
    </w:p>
    <w:p>
      <w:pPr>
        <w:pStyle w:val="TextBody"/>
        <w:bidi w:val="0"/>
        <w:spacing w:lineRule="auto" w:line="300" w:before="0" w:after="0"/>
        <w:jc w:val="left"/>
        <w:rPr/>
      </w:pPr>
      <w:r>
        <w:rPr/>
        <w:t> </w:t>
      </w:r>
    </w:p>
    <w:p>
      <w:pPr>
        <w:pStyle w:val="TextBody"/>
        <w:bidi w:val="0"/>
        <w:spacing w:lineRule="auto" w:line="300" w:before="0" w:after="0"/>
        <w:jc w:val="both"/>
        <w:rPr/>
      </w:pPr>
      <w:r>
        <w:rPr/>
        <w:t> </w:t>
      </w:r>
      <w:r>
        <w:rPr>
          <w:rFonts w:ascii="Times New Roman;Times;serif" w:hAnsi="Times New Roman;Times;serif"/>
          <w:b/>
          <w:i/>
          <w:sz w:val="20"/>
        </w:rPr>
        <w:t>EB618 Program (Oral GLP-1/Glucagon)</w:t>
      </w:r>
    </w:p>
    <w:p>
      <w:pPr>
        <w:pStyle w:val="TextBody"/>
        <w:bidi w:val="0"/>
        <w:spacing w:lineRule="auto" w:line="300" w:before="0" w:after="0"/>
        <w:jc w:val="both"/>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 platform.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EB618 program focuses on developing the first oral dual agonist GLP-1/Glucagon (OXM) peptide as a potential once-daily tablet for patients with obesity and metabolic disorders using the N-Tab® platform. Oxyntomodulin (OXM) is a naturally occurring dual GLP-1/glucagon receptor agonist hormone that regulates appetite and glucose metabolism and promotes weight loss, with additional cardioprotective and anti-fibrotic properties; its therapeutic potential as a native hormone is limited by a short plasma half-life. Currently, there are no approved dual GLP-1/Glucagon agonists available.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September 2024, we and OPKO jointly announced topline PK/PD results for the OXM program.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February 2026, we amended and restated the 2025 Collaboration Agreement (the “A&amp;R Collaboration Agreement”) to expand the scope of the agreement to include the collaboration with respect to the preclinical and clinical development of a daily LA-PTH tablet for the treatment of hypoparathyroidism.</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p>
      <w:pPr>
        <w:pStyle w:val="HorizontalLine"/>
        <w:bidi w:val="0"/>
        <w:spacing w:lineRule="auto" w:line="300" w:before="200" w:after="200"/>
        <w:jc w:val="left"/>
        <w:rPr/>
      </w:pPr>
      <w:r>
        <w:rPr/>
      </w:r>
    </w:p>
    <w:p>
      <w:pPr>
        <w:pStyle w:val="TextBody"/>
        <w:bidi w:val="0"/>
        <w:spacing w:lineRule="auto" w:line="300" w:before="0" w:after="0"/>
        <w:jc w:val="both"/>
        <w:rPr/>
      </w:pPr>
      <w:r>
        <w:rPr/>
        <w:t> </w:t>
      </w:r>
      <w:r>
        <w:rPr>
          <w:rFonts w:ascii="Times New Roman;Times;serif" w:hAnsi="Times New Roman;Times;serif"/>
          <w:sz w:val="20"/>
        </w:rPr>
        <w:t>In June 2026, at ENDO 2026, we presented preclinical data for EB618 from a single-dose pharmacokinetic-pharmacodynamic study in non-human primates, showing dose-proportional systemic exposure across three tablet strengths, a dose-proportional pharmacologic effect on postprandial blood glucose and no safety concerns identified at doses exceeding the anticipated clinical dose range by more than tenfold. These data support the continued development of EB618 as an oral once-daily GLP-1/glucagon receptor agonist for the treatment of obesity and metabolic disorders.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OPKO is planning to initiate a single ascending dose (SAD) and multiple ascending dose (MAD) Phase 1 clinical study with the subcutaneous injection formulation in 2027. We plan to determine next steps of the clinical development plan for oral OXM based on the outcomes of that study.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additional information regarding our collaboration agreements with OPKO, see Item 2. Management’s Discussion and Analysis of Financial Condition and Results of Operations—Patent Transfer, Licensing Agreements and Grant Funding—OPKO Collaboration and License Agreements, contained in this Quarterly Report.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Oral GLP-2</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This program focuses on developing the first GLP-2 peptide tablet alternative for patients suffering from short bowel syndrome and additional disorders involving mucosal inflammation and nutrient malabsorption.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Patent Transfer, Licensing Agreements and Grant Funding</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OPKO Collaboration and License Agreements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2023 Collaboration Agreement</w:t>
      </w:r>
    </w:p>
    <w:p>
      <w:pPr>
        <w:pStyle w:val="TextBody"/>
        <w:bidi w:val="0"/>
        <w:spacing w:lineRule="auto" w:line="300" w:before="0" w:after="0"/>
        <w:jc w:val="both"/>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In September 2023, we entered into the 2023 Collaboration Agreement with OPKO Biologics. Under the terms of this agreement, OPKO has agreed to supply its proprietary long-acting GLP-2 peptide and certain OXM analogs for the development of oral tablet candidates using our proprietary N-Tab® platform. Under this agreement, we and OPKO have each agreed to be responsible for specific phases of development of the two oral peptides to the point of demonstrated in vivo feasibility.</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2025 Collaboration Agreement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 (the “Program”).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 cardiovascular, and fibrotic disorders in humans, and OPKO has granted to us a non-exclusive, non-sublicensable and non-transferable license to certain of its intellectual property and technology to the extent necessary for us to perform our obligations in relation to the Program, in each case subject to the exceptions contained therein.</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terms of the 2025 Collaboration Agreement, we and OPKO will retain 40% and 60%, respectively, of all proceeds deriving from the EB618 Program, and will be responsible for 40% and 60% of the Program’s development costs, respectively. Following the completion of the Phase 1 stage, we may continue to fund our 40% share of the Program to maintain our right to proceeds or to opt-out (the “Opt-Out”). If we Opt-Out, then we and OPKO will retain 15% and 85%, respectively, of all proceeds deriving from the Program, while OPKO will be solely responsible for ongoing development and commercialization funding of the Program.</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connection with the execution of the 2025 Collaboration Agreement, we issued and sold to OPKO an aggregate of 3,685,226 Ordinary Shares for a purchase price of $8.0 million, the proceeds of which we have agreed to use solely to fund our development cost obligations under the 2025 Collaboration Agreement, subject to the expiration or termination of the agreement.</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Amended And Restated Collaboration Agreement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February 2026, we entered into the A&amp;R Collaboration Agreement with OPKO which amends and restates the 2025 Collaboration Agreement to expand the scope of the agreement to include the collaboration with respect to the preclinical and clinical development of a daily LA-PTH for the treatment of hypoparathyroidism (EB612 Program) and other indications in addition to the original oral dual agonist GLP-1/glucagon peptide program. Development costs incurred by the parties with respect to the development of the LA-PTH EB612 program will be shared equally between the Company and OPKO.</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Oramed Patent Transfer Agreement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2011, we entered into a patent transfer agreement with Oramed Ltd. (“Oramed”), which we refer to as the Patent Transfer Agreement, pursuant to which Oramed assigned to us all of its rights, title and interest in the patent rights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that involve the use of, or utilize, the patents underlying the Patent Transfer Agreement. Under the terms of the Patent Transfer Agreement, we agreed to pay Oramed royalties equal to 3% of our net revenues generated, directly or indirectly, from our exploitation of the assigned patent rights, including the sale, lease or transfer of the assigned patent rights or sales of products or services covered by the assigned patent rights. On March 27, 2025, we entered into a Novation Agreement with Oramed, and Oramed NewCo Inc. ("Oramed NewCo") pursuant to which Oramed NewCo replaced Oramed as a party to the Patent Transfer Agreement. Under the Novation Agreement, Oramed NewCo assumed all of Oramed's rights and obligations under the Patent Transfer Agreement accruing on or after the effective date, Oramed was released from any obligations and liabilities owed to us under the Patent Transfer Agreement accruing or arising after such date, and we were released from any obligations and liabilities owed to Oramed accruing or arising after such date. All other provisions of the Patent Transfer Agreement remain in full force and effect.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Israeli Innovation Authority Grants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received grants of approximately $0.5 million from the Israeli Innovation Authority (“IIA”) to partially fund our PTH research and development for Osteoporosis. The grants are subject to certain requirements and restrictions under the Israeli Encouragement of Research, Development and Technological Innovation in Industry Law 5477 1984 (the “Research Law”). In general, until the grants are repaid with interest, royalties are payable to the Israeli government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amount that must be repaid may be increased up to six times the amount of the grant received and the interest. The rate of royalties may be accelerated and the royalty liability may increase (up to three times the amount of the grant amount and the interest), if manufacturing of the products developed with the grant money is transferred outside of the State of Israel. Moreover, a payment of up to 600% of the grant received may be required upon the transfer of any IIA-related know-how to a non-Israeli entity. We signed a contract with a U.K.-based contract manufacturing organization to produce and supply pills for trials performed worldwide. We believe that, because this production is not for commercial purposes, it will not affect the royalty rates to be paid to the IIA. Should the IIA successfully take a contrary position, the maximum royalties to be paid to the IIA will be approximately $1.5 million, which is three times the amount of the original grant (plus interest on the entire increased amount). Under a collaboration agreement that was previously mutually terminated in May 2023, from 2019 through March 31, 2023, we recognized an aggregate amount of $1.7 million of revenue in accordance with ASC 606, “Revenues from Contracts with Customers” with respect to revenue generated from the collaboration agreement. Prior to its termination, we had been required to pay to the IIA 5.38% of each payment made to us under such collaboration agreement with an ultimately liability of up to 600% of the grant received plus interest. As of June 30, 2026, we had paid royalties to the IIA in the amount of $96 thousand.</w:t>
      </w:r>
    </w:p>
    <w:p>
      <w:pPr>
        <w:pStyle w:val="TextBody"/>
        <w:bidi w:val="0"/>
        <w:spacing w:lineRule="auto" w:line="300" w:before="0" w:after="0"/>
        <w:jc w:val="both"/>
        <w:rPr/>
      </w:pPr>
      <w:r>
        <w:rPr/>
        <w:t> </w:t>
      </w:r>
    </w:p>
    <w:p>
      <w:pPr>
        <w:pStyle w:val="TextBody"/>
        <w:bidi w:val="0"/>
        <w:spacing w:lineRule="auto" w:line="300" w:before="0" w:after="0"/>
        <w:jc w:val="both"/>
        <w:rPr/>
      </w:pPr>
      <w:r>
        <w:rPr/>
        <w:t> </w:t>
      </w:r>
      <w:r>
        <w:rPr>
          <w:rFonts w:ascii="Times New Roman;Times;serif" w:hAnsi="Times New Roman;Times;serif"/>
          <w:sz w:val="20"/>
        </w:rPr>
        <w:t>In addition to paying any royalties due, we must abide by other restrictions associated with receiving such grants under the Research Law that continue to apply following repayment to the IIA.</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HorizontalLine"/>
        <w:bidi w:val="0"/>
        <w:spacing w:lineRule="auto" w:line="300" w:before="200" w:after="200"/>
        <w:jc w:val="left"/>
        <w:rPr/>
      </w:pPr>
      <w:r>
        <w:rPr/>
      </w:r>
    </w:p>
    <w:p>
      <w:pPr>
        <w:pStyle w:val="TextBody"/>
        <w:bidi w:val="0"/>
        <w:spacing w:lineRule="auto" w:line="300" w:before="0" w:after="0"/>
        <w:jc w:val="left"/>
        <w:rPr/>
      </w:pPr>
      <w:r>
        <w:rPr/>
        <w:t> </w:t>
      </w:r>
      <w:r>
        <w:rPr>
          <w:rFonts w:ascii="Times New Roman;Times;serif" w:hAnsi="Times New Roman;Times;serif"/>
          <w:b/>
          <w:sz w:val="20"/>
        </w:rPr>
        <w:t>Recent Developments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July 2026 Private Placement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July 26, 2026, we entered into a securities purchase agreement (the “July 2026 Purchase Agreement”) with certain institutional and accredited investors, including funds affiliated with BVF Partners L.P. (“BVF”), providing for the private placement (the “July 2026 Private Placement”) of an aggregate of 134,803,910 Ordinary Shares, or, in lieu thereof, pre-funded warrants to purchase Ordinary Shares (the “July 2026 Pre-Funded Warrants”), at a purchase price of $2.04 per Ordinary Share, for aggregate gross proceeds of approximately $275.0 million, before deducting placement agent fees and other related offering expenses. On July 28, 2026 (the “Closing Date”), we issued 122,961,215 Ordinary Shares and July 2026 Pre-Funded Warrants to purchase 11,842,695 Ordinary Shares.</w:t>
        <w:br/>
        <w:t> </w:t>
        <w:br/>
        <w:t>The July 2026 Pre-Funded Warrants have an exercise price of NIS 0.0000769 per Ordinary Share, are immediately exercisable, do not expire and are subject to customary beneficial ownership limitations and adjustments. The Company intends to use the net proceeds from the July 2026 Private Placement to support activities related to the initiation of its Phase 3 registrational study of EB613 in postmenopausal women with osteoporosis and for general working capital and corporate purposes.</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Pursuant to the July 2026 Purchase Agreement, effective upon the closing of the July 2026 Private Placement, we also granted BVF certain rights to designate two nominees to the Company’s board of directors, subject to specified ownership thresholds and other conditions as set forth in the July 2026 Purchase Agreement.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Israel-Hamas War and Regional Conflict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early April 2026, a two-week ceasefire between the United States and Iran was agreed and on April 21, 2026, U.S. President Donald Trump announced that the United States would extend the ceasefire with Iran, to allow Iran's leadership to present a unified proposal for negotiations.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 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w:t>
      </w:r>
    </w:p>
    <w:p>
      <w:pPr>
        <w:pStyle w:val="TextBody"/>
        <w:bidi w:val="0"/>
        <w:spacing w:lineRule="auto" w:line="300" w:before="0" w:after="0"/>
        <w:jc w:val="both"/>
        <w:rPr/>
      </w:pPr>
      <w:r>
        <w:rPr/>
        <w:t> </w:t>
      </w:r>
    </w:p>
    <w:p>
      <w:pPr>
        <w:pStyle w:val="TextBody"/>
        <w:bidi w:val="0"/>
        <w:spacing w:lineRule="auto" w:line="300" w:before="0" w:after="0"/>
        <w:jc w:val="both"/>
        <w:rPr/>
      </w:pPr>
      <w:r>
        <w:rPr/>
        <w:t> </w:t>
      </w:r>
      <w:r>
        <w:rPr>
          <w:rFonts w:ascii="Times New Roman;Times;serif" w:hAnsi="Times New Roman;Times;serif"/>
          <w:sz w:val="20"/>
        </w:rPr>
        <w:t>The Company’s research personnel and management personnel are located in Israel, however other core activities including clinical, regulatory and supply chain are located outside of Israel. Currently, such activities in Israel remain largely unaffected. During the three and six months ended June 30, 2026 and June 30, 2025, the impact of this war on the Company’s results of operations and financial condition was immaterial. See Item 1.A. “Risk Factors—Security, political and economic instability in the Middle East may harm our business.”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HorizontalLine"/>
        <w:bidi w:val="0"/>
        <w:spacing w:lineRule="auto" w:line="300" w:before="200" w:after="200"/>
        <w:jc w:val="left"/>
        <w:rPr/>
      </w:pPr>
      <w:r>
        <w:rPr/>
      </w:r>
    </w:p>
    <w:p>
      <w:pPr>
        <w:pStyle w:val="TextBody"/>
        <w:bidi w:val="0"/>
        <w:spacing w:lineRule="auto" w:line="300" w:before="0" w:after="0"/>
        <w:jc w:val="both"/>
        <w:rPr/>
      </w:pPr>
      <w:r>
        <w:rPr/>
        <w:t> </w:t>
      </w:r>
      <w:r>
        <w:rPr>
          <w:rFonts w:ascii="Times New Roman;Times;serif" w:hAnsi="Times New Roman;Times;serif"/>
          <w:b/>
          <w:sz w:val="20"/>
        </w:rPr>
        <w:t>Financial Overview</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From our inception through June 30, 2026, we have financed our operations primarily through a combination of public and private equity offerings, grants from the IIA and the issuance of Ordinary Shares upon the exercise of options and warrants. Through June 30, 2026, we had raised an aggregate of approximately $121.8 million from these sources.</w:t>
      </w:r>
    </w:p>
    <w:p>
      <w:pPr>
        <w:pStyle w:val="TextBody"/>
        <w:bidi w:val="0"/>
        <w:spacing w:lineRule="auto" w:line="300" w:before="0" w:after="0"/>
        <w:jc w:val="both"/>
        <w:rPr/>
      </w:pPr>
      <w:r>
        <w:rPr/>
        <w:br/>
      </w:r>
      <w:r>
        <w:rPr>
          <w:rFonts w:ascii="Times New Roman;Times;serif" w:hAnsi="Times New Roman;Times;serif"/>
          <w:sz w:val="20"/>
        </w:rPr>
        <w:t>Since inception, we have incurred significant operating losses and negative cash flows from operations as we have devoted substantially all of our resources to the research and development of our product candidates. We expect to incur significant operating losses for the foreseeable future as we advance our clinical development programs. For the three months ended June 30, 2026 and 2025, our operating losses were $4.6 million and $2.7 million, respectively. For the six months ended June 30, 2026 and 2025, our operating losses were $8.1 million and $5.2 million, respectively.</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we had an accumulated deficit of $136.2 million. Our operating results may increase significantly from period to period depending on, among other things, the timing and progress of our clinical trials, research and development activities, manufacturing activities, regulatory interactions, strategic collaborations and any third-party collaborations into which we may enter.</w:t>
        <w:br/>
        <w:t> </w:t>
        <w:br/>
        <w:t>As of June 30, 2026, we had cash, cash equivalents and restricted cash of $18.4 million, of which $7.1 million has been designated to fund collaboration activities with OPKO under the A&amp;R Collaboration Agreement.</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July 28, 2026, we consummated the July 2026 Private Placement and received aggregate gross proceeds of approximately $275.0 million, before deducting placement agent fees and other offering expenses. See “—Recent Developments— July 2026 Private Placement.” Based on our current operating plan, we believe that our existing cash resources, together with the net proceeds from the July 2026 Private Placement, will be sufficient to fund our planned operations into 2030.</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estimate regarding the period through which our financial resources will be sufficient to support our operations is based on our current operating plan and assumptions regarding the timing and costs of our development programs and other operating activities. These assumptions are subject to change, and we may use our available capital resources sooner than currently anticipated.</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we had a total of 22 employees, of whom 20 are full-time employees, and all are based in Israel. In addition, we employ a number of specialized clinical, non-clinical, statistical, regulatory and development advisors based in the United States, the United Kingdom and Europe. Our operations are located in Jerusalem, Israel.</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date, we have not generated any revenue from sales of our products, and we do not expect to receive any revenue from any product candidates that we develop unless and until we obtain regulatory approval and successfully commercialize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300" w:before="0" w:after="0"/>
        <w:jc w:val="both"/>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Research and development expenses consist of costs incurred for the development of our N-Tab® platform and our product candidates. We expense both internal and external research and development expenses to operations for the periods in which they are incurred. We mapped the majority of external research and development costs incurred for our product candidates and development programs.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HorizontalLine"/>
        <w:bidi w:val="0"/>
        <w:spacing w:lineRule="auto" w:line="300" w:before="200" w:after="200"/>
        <w:jc w:val="left"/>
        <w:rPr/>
      </w:pPr>
      <w:r>
        <w:rPr/>
      </w:r>
    </w:p>
    <w:p>
      <w:pPr>
        <w:pStyle w:val="TextBody"/>
        <w:bidi w:val="0"/>
        <w:spacing w:lineRule="auto" w:line="300" w:before="0" w:after="0"/>
        <w:jc w:val="both"/>
        <w:rPr/>
      </w:pPr>
      <w:r>
        <w:rPr/>
        <w:t> </w:t>
      </w:r>
      <w:r>
        <w:rPr>
          <w:rFonts w:ascii="Times New Roman;Times;serif" w:hAnsi="Times New Roman;Times;serif"/>
          <w:sz w:val="20"/>
        </w:rPr>
        <w:t>Internal and certain general external research and development expenses that support multiple programs include:</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employee-related expenses, including salaries, bonuses and share-based compensation expenses for employees and service providers in the research and development function;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costs associated with our research and development platform used across programs, process development, manufacturing, consulting fees and preclinical development for earlier stage programs and new technologies;</w:t>
            </w:r>
          </w:p>
        </w:tc>
      </w:tr>
    </w:tbl>
    <w:p>
      <w:pPr>
        <w:pStyle w:val="TextBody"/>
        <w:bidi w:val="0"/>
        <w:spacing w:lineRule="auto" w:line="300"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82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expenses incurred in operating our laboratories including our small-scale manufacturing facility; and</w:t>
            </w:r>
          </w:p>
        </w:tc>
      </w:tr>
    </w:tbl>
    <w:p>
      <w:pPr>
        <w:pStyle w:val="TextBody"/>
        <w:bidi w:val="0"/>
        <w:spacing w:lineRule="auto" w:line="300"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89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depreciation of research and development equipment, allocated overhead, rent and facilities-related expenses.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External research and development expenses for our main clinical development programs include:</w:t>
      </w:r>
    </w:p>
    <w:p>
      <w:pPr>
        <w:pStyle w:val="TextBody"/>
        <w:bidi w:val="0"/>
        <w:spacing w:lineRule="auto" w:line="300" w:before="0" w:after="0"/>
        <w:jc w:val="both"/>
        <w:rPr/>
      </w:pPr>
      <w:r>
        <w:rPr/>
        <w:t> </w:t>
      </w:r>
    </w:p>
    <w:tbl>
      <w:tblPr>
        <w:tblW w:w="8485" w:type="dxa"/>
        <w:jc w:val="left"/>
        <w:tblInd w:w="0" w:type="dxa"/>
        <w:tblLayout w:type="fixed"/>
        <w:tblCellMar>
          <w:top w:w="0" w:type="dxa"/>
          <w:left w:w="0" w:type="dxa"/>
          <w:bottom w:w="0" w:type="dxa"/>
          <w:right w:w="0" w:type="dxa"/>
        </w:tblCellMar>
      </w:tblPr>
      <w:tblGrid>
        <w:gridCol w:w="75"/>
        <w:gridCol w:w="11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83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expenses incurred under agreements with CROs and investigative sites that conduct our clinical trials;</w:t>
            </w:r>
          </w:p>
        </w:tc>
      </w:tr>
    </w:tbl>
    <w:p>
      <w:pPr>
        <w:pStyle w:val="TextBody"/>
        <w:bidi w:val="0"/>
        <w:spacing w:lineRule="auto" w:line="300"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50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 costs associated with pre-clinical and clinical activities;</w:t>
            </w:r>
          </w:p>
        </w:tc>
      </w:tr>
    </w:tbl>
    <w:p>
      <w:pPr>
        <w:pStyle w:val="TextBody"/>
        <w:bidi w:val="0"/>
        <w:spacing w:lineRule="auto" w:line="300"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68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supply, development and manufacturing costs relating to clinical trial materials; and</w:t>
            </w:r>
          </w:p>
        </w:tc>
      </w:tr>
    </w:tbl>
    <w:p>
      <w:pPr>
        <w:pStyle w:val="TextBody"/>
        <w:bidi w:val="0"/>
        <w:spacing w:lineRule="auto" w:line="300"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51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certain consulting and advisory services related to the program.</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activities are our primary focus.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our clinical candidates into later stages of clinical development and invest in additional preclinical candidates.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research and development expenses may vary substantially from period to period based on the timing of our research and development activities, including due to the timing of initiation of clinical trials and the enrolment of patients in clinical trials. For the three months ended June 30, 2026 and 2025, our research and development expenses were $3.2 million and $1.5 million, respectively. For the six months ended June 30, 2026 and 2025, our research and development expenses were $5.5 million and $2.6 million, respectively. Research and development expenses for the three and six months ended June 30, 2026 were primarily for the development of the EB613 program and our collaboration with OPKO related to the EB612 (LA-PTH) and EB618 (OXM) programs.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uncertainty of the scope, rate of progress, results and cost of our clinical trials, nonclinical testing and other related activities;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cost of manufacturing clinical supplies and establishing commercial supplies of our product candidates and any products that we may develop;</w:t>
            </w:r>
          </w:p>
        </w:tc>
      </w:tr>
    </w:tbl>
    <w:p>
      <w:pPr>
        <w:pStyle w:val="TextBody"/>
        <w:bidi w:val="0"/>
        <w:spacing w:lineRule="auto" w:line="300"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557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number and characteristics of product candidates that we pursue;</w:t>
            </w:r>
          </w:p>
        </w:tc>
      </w:tr>
    </w:tbl>
    <w:p>
      <w:pPr>
        <w:pStyle w:val="TextBody"/>
        <w:bidi w:val="0"/>
        <w:spacing w:lineRule="auto" w:line="300"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44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cost, timing and outcomes of regulatory approvals;</w:t>
            </w:r>
          </w:p>
        </w:tc>
      </w:tr>
    </w:tbl>
    <w:p>
      <w:pPr>
        <w:pStyle w:val="TextBody"/>
        <w:bidi w:val="0"/>
        <w:spacing w:lineRule="auto" w:line="300"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73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cost and timing of establishing any sales, marketing, and distribution capabilities;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terms and timing of any collaborative, licensing and other arrangements that we may establish, including any milestone and royalty payments thereunder.</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EB613, EB612 and EB618 or any other product candidate that we may develop could significantly change the costs and timing associated with the development of any such product candidate. For example, if the FDA or other regulatory authority were to require us to conduct preclinical or clinical studies beyond those that we currently anticipate will be required for the completion of clinical development, if we experience significant delays in enrolment in any clinical trials or if we encounter difficulties in manufacturing our clinical supplies, then we could be required to expend significant additional financial resources and time on the completion of the clinical development.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research and development expenses for the three and six months ended June 30, 2026 and June 30, 2025 are summarized as follows: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03"/>
        <w:gridCol w:w="60"/>
        <w:gridCol w:w="206"/>
        <w:gridCol w:w="802"/>
        <w:gridCol w:w="98"/>
        <w:gridCol w:w="98"/>
        <w:gridCol w:w="206"/>
        <w:gridCol w:w="802"/>
        <w:gridCol w:w="60"/>
        <w:gridCol w:w="60"/>
        <w:gridCol w:w="226"/>
        <w:gridCol w:w="881"/>
        <w:gridCol w:w="108"/>
        <w:gridCol w:w="108"/>
        <w:gridCol w:w="226"/>
        <w:gridCol w:w="881"/>
        <w:gridCol w:w="80"/>
      </w:tblGrid>
      <w:tr>
        <w:trPr/>
        <w:tc>
          <w:tcPr>
            <w:tcW w:w="5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10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303"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External Expenses related to EB613</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2,334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599</w:t>
            </w:r>
          </w:p>
        </w:tc>
        <w:tc>
          <w:tcPr>
            <w:tcW w:w="80" w:type="dxa"/>
            <w:tcBorders/>
            <w:shd w:fill="CCEEFF" w:val="clear"/>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Internal and External expenses related to collaborations with OPKO</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1,164</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641</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w:t>
            </w:r>
          </w:p>
        </w:tc>
        <w:tc>
          <w:tcPr>
            <w:tcW w:w="80" w:type="dxa"/>
            <w:tcBorders/>
            <w:vAlign w:val="center"/>
          </w:tcPr>
          <w:p>
            <w:pPr>
              <w:pStyle w:val="TableContents"/>
              <w:bidi w:val="0"/>
              <w:spacing w:before="0" w:after="283"/>
              <w:jc w:val="left"/>
              <w:rPr/>
            </w:pPr>
            <w:r>
              <w:rPr/>
              <w:t> </w:t>
            </w:r>
          </w:p>
        </w:tc>
      </w:tr>
      <w:tr>
        <w:trPr/>
        <w:tc>
          <w:tcPr>
            <w:tcW w:w="5303"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Internal and External expenses related to other development program:</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Payroll and related expenses</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919</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372</w:t>
            </w:r>
          </w:p>
        </w:tc>
        <w:tc>
          <w:tcPr>
            <w:tcW w:w="80" w:type="dxa"/>
            <w:tcBorders/>
            <w:vAlign w:val="center"/>
          </w:tcPr>
          <w:p>
            <w:pPr>
              <w:pStyle w:val="TableContents"/>
              <w:bidi w:val="0"/>
              <w:spacing w:before="0" w:after="283"/>
              <w:jc w:val="left"/>
              <w:rPr/>
            </w:pPr>
            <w:r>
              <w:rPr/>
              <w:t> </w:t>
            </w:r>
          </w:p>
        </w:tc>
      </w:tr>
      <w:tr>
        <w:trPr/>
        <w:tc>
          <w:tcPr>
            <w:tcW w:w="5303" w:type="dxa"/>
            <w:tcBorders/>
            <w:shd w:fill="CCEEFF" w:val="clear"/>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377</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w:t>
            </w:r>
          </w:p>
        </w:tc>
        <w:tc>
          <w:tcPr>
            <w:tcW w:w="80" w:type="dxa"/>
            <w:tcBorders/>
            <w:shd w:fill="CCEEFF" w:val="clear"/>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lineRule="auto" w:line="300" w:before="0" w:after="0"/>
              <w:ind w:left="285" w:right="0" w:hanging="0"/>
              <w:jc w:val="left"/>
              <w:rPr>
                <w:rFonts w:ascii="Times New Roman;Times;serif" w:hAnsi="Times New Roman;Times;serif"/>
                <w:sz w:val="20"/>
              </w:rPr>
            </w:pPr>
            <w:r>
              <w:rPr>
                <w:rFonts w:ascii="Times New Roman;Times;serif" w:hAnsi="Times New Roman;Times;serif"/>
                <w:sz w:val="20"/>
              </w:rPr>
              <w:t>Rent and related expenses</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w:t>
            </w:r>
          </w:p>
        </w:tc>
        <w:tc>
          <w:tcPr>
            <w:tcW w:w="80" w:type="dxa"/>
            <w:tcBorders/>
            <w:vAlign w:val="center"/>
          </w:tcPr>
          <w:p>
            <w:pPr>
              <w:pStyle w:val="TableContents"/>
              <w:bidi w:val="0"/>
              <w:spacing w:before="0" w:after="283"/>
              <w:jc w:val="left"/>
              <w:rPr/>
            </w:pPr>
            <w:r>
              <w:rPr/>
              <w:t> </w:t>
            </w:r>
          </w:p>
        </w:tc>
      </w:tr>
      <w:tr>
        <w:trPr/>
        <w:tc>
          <w:tcPr>
            <w:tcW w:w="5303"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Other development expenses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r>
      <w:tr>
        <w:trPr/>
        <w:tc>
          <w:tcPr>
            <w:tcW w:w="53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vAlign w:val="center"/>
          </w:tcPr>
          <w:p>
            <w:pPr>
              <w:pStyle w:val="TableContents"/>
              <w:bidi w:val="0"/>
              <w:spacing w:before="0" w:after="283"/>
              <w:jc w:val="left"/>
              <w:rPr/>
            </w:pPr>
            <w:r>
              <w:rPr/>
              <w:t> </w:t>
            </w:r>
          </w:p>
        </w:tc>
        <w:tc>
          <w:tcPr>
            <w:tcW w:w="20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5,452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3,201</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1,520</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General and administrative expenses consist principally of salaries and related expenses, share-based compensation and related costs for directors and personnel in executive and finance functions. Other general and administrative expenses include D&amp;O insurance and other insurance, communication expenses, professional fees for legal and accounting services, costs associated with maintaining and prosecuting our intellectual property portfolio and business development expenses.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Financial Expenses (Income), Net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Financial expenses (income), net is composed primarily of changes in fair value of the April 2026 Pre-Funded Warrants classified as a financial liability, interest income from bank deposits and exchange rate differences of certain currencies against our functional currency, which is the U.S. Dollar.</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Taxes on Income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not generated taxable income since our inception, and, as of June 30, 2026, we had carryforward tax losses of $96.4 million.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anticipate that we will be able to carry forward these tax losses indefinitely to future tax years. Accordingly, we do not expect to pay taxes in Israel until we have taxable income after the full utilization of our carryforward tax losses. We provided a full valuation allowance with respect to the deferred tax assets related to these carryforward losses.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subsidiary, Entera Bio, Inc., is taxed separately under U.S. tax laws. As of June 30, 2026, Entera Bio Inc. had tax loss carryforwards of $0.2 million.</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Comparison of Three Months Ended June 30, 2026 and 2025</w:t>
      </w:r>
    </w:p>
    <w:p>
      <w:pPr>
        <w:pStyle w:val="TextBody"/>
        <w:bidi w:val="0"/>
        <w:spacing w:lineRule="auto" w:line="300" w:before="0" w:after="0"/>
        <w:jc w:val="left"/>
        <w:rPr/>
      </w:pPr>
      <w:r>
        <w:rPr/>
        <w:t> </w:t>
      </w:r>
    </w:p>
    <w:tbl>
      <w:tblPr>
        <w:tblW w:w="7612" w:type="dxa"/>
        <w:jc w:val="left"/>
        <w:tblInd w:w="0" w:type="dxa"/>
        <w:tblLayout w:type="fixed"/>
        <w:tblCellMar>
          <w:top w:w="0" w:type="dxa"/>
          <w:left w:w="0" w:type="dxa"/>
          <w:bottom w:w="0" w:type="dxa"/>
          <w:right w:w="0" w:type="dxa"/>
        </w:tblCellMar>
      </w:tblPr>
      <w:tblGrid>
        <w:gridCol w:w="3350"/>
        <w:gridCol w:w="60"/>
        <w:gridCol w:w="185"/>
        <w:gridCol w:w="721"/>
        <w:gridCol w:w="89"/>
        <w:gridCol w:w="89"/>
        <w:gridCol w:w="185"/>
        <w:gridCol w:w="721"/>
        <w:gridCol w:w="89"/>
        <w:gridCol w:w="66"/>
        <w:gridCol w:w="84"/>
        <w:gridCol w:w="686"/>
        <w:gridCol w:w="84"/>
        <w:gridCol w:w="84"/>
        <w:gridCol w:w="84"/>
        <w:gridCol w:w="835"/>
        <w:gridCol w:w="200"/>
      </w:tblGrid>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85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Increase (Decrease)</w:t>
            </w:r>
          </w:p>
        </w:tc>
        <w:tc>
          <w:tcPr>
            <w:tcW w:w="20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20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002" w:type="dxa"/>
            <w:gridSpan w:val="14"/>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 thousands, except for percentage information)</w:t>
            </w:r>
          </w:p>
        </w:tc>
        <w:tc>
          <w:tcPr>
            <w:tcW w:w="20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906" w:type="dxa"/>
            <w:gridSpan w:val="2"/>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gridSpan w:val="2"/>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0" w:type="dxa"/>
            <w:gridSpan w:val="2"/>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3,201</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1,520</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1,681</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w:t>
            </w:r>
          </w:p>
        </w:tc>
        <w:tc>
          <w:tcPr>
            <w:tcW w:w="2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4,563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w:t>
            </w:r>
          </w:p>
        </w:tc>
        <w:tc>
          <w:tcPr>
            <w:tcW w:w="2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expense (income), net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w:t>
            </w:r>
          </w:p>
        </w:tc>
        <w:tc>
          <w:tcPr>
            <w:tcW w:w="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23,001</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8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7,312</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2,656</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4" w:type="dxa"/>
            <w:tcBorders>
              <w:bottom w:val="double" w:sz="8" w:space="0" w:color="000000"/>
            </w:tcBorders>
            <w:tcMar>
              <w:bottom w:w="28" w:type="dxa"/>
            </w:tcMar>
            <w:vAlign w:val="center"/>
          </w:tcPr>
          <w:p>
            <w:pPr>
              <w:pStyle w:val="TableContents"/>
              <w:bidi w:val="0"/>
              <w:spacing w:before="0" w:after="283"/>
              <w:jc w:val="left"/>
              <w:rPr/>
            </w:pPr>
            <w:r>
              <w:rPr/>
              <w:t> </w:t>
            </w:r>
          </w:p>
        </w:tc>
        <w:tc>
          <w:tcPr>
            <w:tcW w:w="68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4,656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bottom w:val="double" w:sz="8" w:space="0" w:color="000000"/>
            </w:tcBorders>
            <w:tcMar>
              <w:bottom w:w="28" w:type="dxa"/>
            </w:tcMar>
            <w:vAlign w:val="center"/>
          </w:tcPr>
          <w:p>
            <w:pPr>
              <w:pStyle w:val="TableContents"/>
              <w:bidi w:val="0"/>
              <w:spacing w:before="0" w:after="283"/>
              <w:jc w:val="left"/>
              <w:rPr/>
            </w:pPr>
            <w:r>
              <w:rPr/>
              <w:t> </w:t>
            </w:r>
          </w:p>
        </w:tc>
        <w:tc>
          <w:tcPr>
            <w:tcW w:w="83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w:t>
            </w:r>
          </w:p>
        </w:tc>
        <w:tc>
          <w:tcPr>
            <w:tcW w:w="2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expenses for the three months ended June 30, 2026 were $3.2 million, as compared to $1.5 million for the three months ended June 30, 2025. The increase in expenses of $1.7 million was mainly attributable to an increase of $0.8 million in materials and production costs and other costs related to the preparation of the EB613 Phase 3 program, an increase of $0.6 million in connection with our collaboration programs with OPKO, mainly for EB612, an increase of $0.1 million related to our Phase 1 safety and PK bridging study for the Next Generation of EB613, and an increase of $0.2 million in compensation expenses, primarily reflecting unfavorable foreign exchange rate fluctuation and non-cash compensation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General and administrative expenses for the three months ended June 30, 2026 were $1.4 million as compared to $1.1 million for the three months ended June 30, 2025. The increase of $0.3 million was mainly attributable to an increase in investor relations consulting fees, portion of offering costs related to the April 2026 Pre-Funded Warrants that were recorded as part of general and administrative expenses and an increase in compensation expenses, primarily reflecting unfavorable foreign exchange rate fluctuation.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Financial Expenses (Income),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Financial expenses, net for the three months ended June 30, 2026 was $2.7 million as compared to financial income, net of ($12) thousand for the three months ended June 30, 2025. The change was primarily driven by the fair value remeasurement of the April 2026 Pre-Funded Warrants classified as a financial liability and exchange rate differences of certain currencies against our functional currency, which is the U.S. Dollar. These were partially offset by interest income generated from bank deposits.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Comparison of Six Months Ended June 30, 2026 and 2025</w:t>
      </w:r>
    </w:p>
    <w:p>
      <w:pPr>
        <w:pStyle w:val="TextBody"/>
        <w:bidi w:val="0"/>
        <w:spacing w:lineRule="auto" w:line="300" w:before="0" w:after="0"/>
        <w:jc w:val="left"/>
        <w:rPr/>
      </w:pPr>
      <w:r>
        <w:rPr/>
        <w:t> </w:t>
      </w:r>
    </w:p>
    <w:tbl>
      <w:tblPr>
        <w:tblW w:w="7673" w:type="dxa"/>
        <w:jc w:val="left"/>
        <w:tblInd w:w="0" w:type="dxa"/>
        <w:tblLayout w:type="fixed"/>
        <w:tblCellMar>
          <w:top w:w="0" w:type="dxa"/>
          <w:left w:w="0" w:type="dxa"/>
          <w:bottom w:w="0" w:type="dxa"/>
          <w:right w:w="0" w:type="dxa"/>
        </w:tblCellMar>
      </w:tblPr>
      <w:tblGrid>
        <w:gridCol w:w="3350"/>
        <w:gridCol w:w="60"/>
        <w:gridCol w:w="160"/>
        <w:gridCol w:w="755"/>
        <w:gridCol w:w="76"/>
        <w:gridCol w:w="76"/>
        <w:gridCol w:w="160"/>
        <w:gridCol w:w="621"/>
        <w:gridCol w:w="95"/>
        <w:gridCol w:w="71"/>
        <w:gridCol w:w="178"/>
        <w:gridCol w:w="690"/>
        <w:gridCol w:w="113"/>
        <w:gridCol w:w="84"/>
        <w:gridCol w:w="84"/>
        <w:gridCol w:w="840"/>
        <w:gridCol w:w="260"/>
      </w:tblGrid>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98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Increase (Decrease)</w:t>
            </w:r>
          </w:p>
        </w:tc>
        <w:tc>
          <w:tcPr>
            <w:tcW w:w="2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2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003" w:type="dxa"/>
            <w:gridSpan w:val="14"/>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 thousands, except for percentage information)</w:t>
            </w:r>
          </w:p>
        </w:tc>
        <w:tc>
          <w:tcPr>
            <w:tcW w:w="2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11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11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 w:type="dxa"/>
            <w:tcBorders/>
            <w:vAlign w:val="center"/>
          </w:tcPr>
          <w:p>
            <w:pPr>
              <w:pStyle w:val="TableContents"/>
              <w:bidi w:val="0"/>
              <w:spacing w:before="0" w:after="283"/>
              <w:jc w:val="left"/>
              <w:rPr/>
            </w:pPr>
            <w:r>
              <w:rPr/>
              <w:t> </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2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5,452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2,809</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2,650</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2,588</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2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8,102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5,231</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2,871</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expenses (income), net</w:t>
            </w:r>
          </w:p>
        </w:tc>
        <w:tc>
          <w:tcPr>
            <w:tcW w:w="60" w:type="dxa"/>
            <w:tcBorders/>
            <w:vAlign w:val="center"/>
          </w:tcPr>
          <w:p>
            <w:pPr>
              <w:pStyle w:val="TableContents"/>
              <w:bidi w:val="0"/>
              <w:spacing w:before="0" w:after="283"/>
              <w:jc w:val="left"/>
              <w:rPr/>
            </w:pPr>
            <w:r>
              <w:rPr/>
              <w:t> </w:t>
            </w:r>
          </w:p>
        </w:tc>
        <w:tc>
          <w:tcPr>
            <w:tcW w:w="16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2,715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 w:type="dxa"/>
            <w:tcBorders/>
            <w:vAlign w:val="center"/>
          </w:tcPr>
          <w:p>
            <w:pPr>
              <w:pStyle w:val="TableContents"/>
              <w:bidi w:val="0"/>
              <w:spacing w:before="0" w:after="283"/>
              <w:jc w:val="left"/>
              <w:rPr/>
            </w:pPr>
            <w:r>
              <w:rPr/>
              <w:t> </w:t>
            </w:r>
          </w:p>
        </w:tc>
        <w:tc>
          <w:tcPr>
            <w:tcW w:w="178" w:type="dxa"/>
            <w:tcBorders>
              <w:bottom w:val="double" w:sz="8" w:space="0" w:color="000000"/>
            </w:tcBorders>
            <w:tcMar>
              <w:bottom w:w="28" w:type="dxa"/>
            </w:tcMar>
            <w:vAlign w:val="center"/>
          </w:tcPr>
          <w:p>
            <w:pPr>
              <w:pStyle w:val="TableContents"/>
              <w:bidi w:val="0"/>
              <w:spacing w:before="0" w:after="283"/>
              <w:jc w:val="left"/>
              <w:rPr/>
            </w:pPr>
            <w:r>
              <w:rPr/>
              <w:t> </w:t>
            </w:r>
          </w:p>
        </w:tc>
        <w:tc>
          <w:tcPr>
            <w:tcW w:w="6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2,723</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bottom w:val="double" w:sz="8" w:space="0" w:color="000000"/>
            </w:tcBorders>
            <w:tcMar>
              <w:bottom w:w="28" w:type="dxa"/>
            </w:tcMar>
            <w:vAlign w:val="center"/>
          </w:tcPr>
          <w:p>
            <w:pPr>
              <w:pStyle w:val="TableContents"/>
              <w:bidi w:val="0"/>
              <w:spacing w:before="0" w:after="283"/>
              <w:jc w:val="left"/>
              <w:rPr/>
            </w:pPr>
            <w:r>
              <w:rPr/>
              <w:t> </w:t>
            </w:r>
          </w:p>
        </w:tc>
        <w:tc>
          <w:tcPr>
            <w:tcW w:w="84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34,038</w:t>
            </w:r>
          </w:p>
        </w:tc>
        <w:tc>
          <w:tcPr>
            <w:tcW w:w="2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10,817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5,223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5,594</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bidi w:val="0"/>
        <w:spacing w:lineRule="auto" w:line="300" w:before="200" w:after="200"/>
        <w:jc w:val="left"/>
        <w:rPr/>
      </w:pPr>
      <w:r>
        <w:rPr/>
      </w:r>
    </w:p>
    <w:p>
      <w:pPr>
        <w:pStyle w:val="TextBody"/>
        <w:bidi w:val="0"/>
        <w:spacing w:lineRule="auto" w:line="300" w:before="0" w:after="0"/>
        <w:jc w:val="both"/>
        <w:rPr/>
      </w:pPr>
      <w:r>
        <w:rPr/>
        <w:t> </w:t>
      </w:r>
      <w:r>
        <w:rPr>
          <w:rFonts w:ascii="Times New Roman;Times;serif" w:hAnsi="Times New Roman;Times;serif"/>
          <w:b/>
          <w:i/>
          <w:sz w:val="20"/>
        </w:rPr>
        <w:t>Revenues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Revenues for the six months ended June 30, 2025 were $42 thousand, which were attributable to research services we provided pursuant to a research services agreement with an external party. The Company completed its obligations under the research services agreement in the first quarter of 2025. We did not recognize any revenue for the six months ended June 30, 2026.</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Cost of revenues for the six months ended June 30, 2025 were $42 thousand, which was attributable to research services we provided pursuant to a research services agreement with an external party. For the six months ended June 30, 2026, we did not recognize any cost of revenues.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expenses for the six months ended June 30, 2026 were $5.5 million, as compared to $2.6 million for the six months ended June 30, 2025. The increase in expenses of $2.9 million was mainly attributable to an increase of $1.1 million in materials expenses and other preparation of the EB613 Phase 3 program, an increase of $0.3 million related to our Phase 1 safety and PK bridging study for the Next Generation of EB613, an increase of $1.1 million in connection with our collaboration programs with OPKO for EB612 and EB618 and an increase of $0.4 million in compensation expenses, primarily reflecting unfavorable foreign exchange rate fluctuation and non-cash compensation.</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i/>
          <w:sz w:val="20"/>
        </w:rPr>
        <w:t>General and Administrative Expenses</w:t>
      </w:r>
      <w:r>
        <w:rPr>
          <w:rFonts w:ascii="Times New Roman;Times;serif" w:hAnsi="Times New Roman;Times;serif"/>
          <w:sz w:val="20"/>
        </w:rPr>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General and administrative expenses for the six months ended June 30, 2026 were $2.7 million, as compared to $2.6 million for the six months ended June 30, 2025. The increase of $0.1 million was mainly attributable to the portion of offering costs related to the April 2026 Pre-Funded Warrants that were recorded as part of general and administrative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Financial Expenses (Income), Net</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Financial expenses, net for the six months ended June 30, 2026 was $2.7 million as compared to financial income, net ($8) thousand for the six months ended June 30, 2025. The change was primarily driven by the fair value remeasurement of the April 2026 Pre-Funded Warrants classified as a financial liability and exchange rate differences of certain currencies against our functional currency, which is the U.S. Dollar. These were partially offset by interest income generated from bank deposits.</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Liquidity, Capital Resources and Cash Requirements</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Since our inception and through June 30, 2026, we have financed our operations primarily through a combination of public and private equity offerings, IIA grants and the issuance of Ordinary Shares upon the exercise of options and warrants. Through June 30, 2026, we had raised an aggregate of approximately $121.8 million from these sources, including the issuance of $36.4 million of Ordinary Shares through at-the-market-offering (“ATM”) programs.</w:t>
        <w:br/>
        <w:t> </w:t>
        <w:br/>
        <w:t>As of June 30, 2026, we had cash and cash equivalents and restricted cash of $18.4 million, of which $7.1 million has been designated to fund our obligations under the A&amp;R Collaboration Agreement. On July 28, 2026, we consummated the July 2026 Private Placement and received aggregate gross proceeds of approximately $275.0 million, before deducting placement agent fees and other offering expenses. See “—Recent Developments—July 2026 Private Placement.”</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Since inception, we have incurred significant operating losses and negative cash flows from operations as we have devoted substantially all of our resources to the research and development of our product candidates. We expect to incur significant operating losses for the foreseeable future as we advance our clinical development programs.</w:t>
        <w:br/>
        <w:t> </w:t>
        <w:br/>
        <w:t>As disclosed above, on July 28, 2026, we consummated the July 2026 Private Placement which significantly strengthened our financial position and liquidity, providing us with the capital to execute our current operating plan, including our Phase 3 registrational program for EB613, the advancement of EB612 and our other development activities, and supporting our expected operations into 2030.</w:t>
        <w:br/>
        <w:t> </w:t>
        <w:br/>
        <w:t>We intend to use the net proceeds from the July 2026 Private Placement primarily to fund our planned Phase 3 registrational program for EB613 in postmenopausal women with osteoporosis, including activities through the anticipated submission of an NDA, to advance EB612 in collaboration with OPKO, and for working capital and other general corporate purposes.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the three months ended June 30, 2026 and 2025, our operating losses were $4.6 million and $2.7 million, respectively. For the six months ended June 30, 2026 and 2025, our operating losses were $8.1 million and $5.2 million, respectively. As of June 30, 2026, we had an accumulated deficit of $136.2 million. We expect our operating expenses to increase significantly as we advance our planned Phase 3 registrational program for EB613, continue the development of EB612 and support our other research and development and general management activities. Based on our current operating plan, we believe that our existing cash resources, together with the net proceeds from the July 2026 Private Placement, will be sufficient to fund our planned operations into 2030. Accordingly, following completion of the July 2026 Private Placement, we concluded that the conditions and events that previously raised substantial doubt about our ability to continue as a going concern no longer exist.</w:t>
      </w:r>
    </w:p>
    <w:p>
      <w:pPr>
        <w:pStyle w:val="TextBody"/>
        <w:bidi w:val="0"/>
        <w:spacing w:lineRule="auto" w:line="300" w:before="0" w:after="0"/>
        <w:jc w:val="both"/>
        <w:rPr/>
      </w:pPr>
      <w:r>
        <w:rPr/>
        <w:br/>
      </w:r>
      <w:r>
        <w:rPr>
          <w:rFonts w:ascii="Times New Roman;Times;serif" w:hAnsi="Times New Roman;Times;serif"/>
          <w:sz w:val="20"/>
        </w:rPr>
        <w:t>Our estimate regarding the period through which our financial resources will be sufficient to support our operations is based on our current operating plan and assumptions regarding the timing and costs of our development programs and other operating activities. These assumptions are subject to change, and we may use our available capital resources sooner than currently anticipated.</w:t>
        <w:br/>
        <w:t> </w:t>
      </w:r>
    </w:p>
    <w:p>
      <w:pPr>
        <w:pStyle w:val="TextBody"/>
        <w:bidi w:val="0"/>
        <w:spacing w:lineRule="auto" w:line="300" w:before="0" w:after="0"/>
        <w:jc w:val="both"/>
        <w:rPr/>
      </w:pPr>
      <w:r>
        <w:rPr/>
        <w:t> </w:t>
      </w:r>
      <w:r>
        <w:rPr>
          <w:rFonts w:ascii="Times New Roman;Times;serif" w:hAnsi="Times New Roman;Times;serif"/>
          <w:b/>
          <w:i/>
          <w:sz w:val="20"/>
        </w:rPr>
        <w:t>Equity Offerings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September 2, 2022, we entered into a Sales Agreement with Leerink Partners LLC (f/k/a SVB Securities LLC), as sales agent, to implement an ATM program (the “Leerink ATM Program”) under which we were originally able to sell up to 5,000,000 Ordinary Shares in an at-the-market offering registered under the Securities Act. The sales agent is entitled to a fixed commission of 3% of the aggregate gross proceeds as well as reimbursement of expenses. As of June 30, 2026, we had sold 4,940,156 Ordinary Shares under the Leerink ATM Program for aggregate proceeds of $9.8 million, net of issuance costs. We currently have the ability, but not the obligation, to sell up to an additional 30,000,000 Ordinary Shares under the Leerink ATM Program under our currently effective Registration Statement on Form S-3.</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December 20, 2023, we entered into a securities purchase agreement with certain investors, providing for the private placement (the “December 2023 Private Placement”) of an aggregate of 7,916,879 units, each consisting of (i) one Ordinary Share (or, in lieu thereof, one pre-funded warrant to purchase one Ordinary Share (the “2023 Pre-Funded Warrants”)) and (ii) one warrant to purchase one Ordinary Share (the “2023 Ordinary Share Warrant”), for aggregate proceeds of approximately $6.6 million. The December 2023 Private Placement was priced at the market under applicable Nasdaq rules and closed on December 22,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Each 2023 Ordinary Share Warrant has an exercise price of $1.00 per share and expires five years from the date of issuance.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connection with our entering into the 2025 Collaboration Agreement with OPKO, we issued to OPKO an aggregate of 3,685,226 Ordinary Shares for a purchase price of $8.0 million, representing a purchase price per share equal to approximately $2.17, which was the volume weighted average price per share for the 30 trading days immediately preceding the date of such agreement. We have agreed to use the proceeds from the issuance of such Ordinary Shares solely to fund our development cost obligations under the A&amp;R Collaboration Agreement.</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April 1, 2026, we entered into a securities purchase agreement with certain funds affiliated with BVF Partners L.P. (collectively, the “Purchaser”), providing for the private placement (the “April 2026 Private Placement”) to the Purchaser of an aggregate of 7,916,879 units (the “2026 Units”), each 2026 Unit consisting of (i) one Ordinary Share (or, in lieu thereof, one pre-funded warrant to purchase one Ordinary Share (the “2026 Pre-Funded Warrants”)) and (ii) one warrant to purchase one and one-half Ordinary Shares (the “2026 Ordinary Share Warrants”), for aggregate proceeds of approximately $10.0 million (or $1.2775 per 2026 Unit). On April 2, 2026 (the “Closing Date”), the Company issued 2,425,000 Ordinary Shares, 5,402,789 2026 Pre-Funded Warrants, and 11,741,683 2026 Ordinary Share Warrants in connection with the April 2026 Private Placement.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Each 2026 Ordinary Share Warrant has an exercise price of $1.24 per share, becomes exercisable six months following the Closing Date, expires five years from the date of issuance, and is subject to customary adjustments. The 2026 Ordinary Share Warrants are exercisable only for cash so long as we have an effective registration statement registering the shares underlying the 2026 Ordinary Share Warrants. The 2026 Pre-Funded Warrants have an exercise price of NIS 0.0000769 per share, are immediately exercisable and may be exercised at any time and have no expiration date.</w:t>
        <w:br/>
        <w:t> </w:t>
        <w:br/>
        <w:t>On July 28, 2026, we consummated the July 2026 Private Placement. See “—Recent Developments—July 2026 Private Placement.”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we had received approximately $0.6 million of net proceeds from the exercise of outstanding 2023 Ordinary Share Warrants. If all remaining 2023 Ordinary Share Warrants and all 2026 Ordinary Share Warrants were exercised for cash, then the Company would receive additional proceeds of approximately $22.3 million. There can be no assurance that the holders will exercise any of such warrants.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Based on our current operating plan, we believe that our existing cash resources, which includes the net proceeds from the July 2026 Private Placement, will be sufficient to fund our planned operations into 2030.</w:t>
        <w:br/>
        <w:t> </w:t>
        <w:br/>
        <w:t>We expect our operating expenses to increase significantly as we advance our planned Phase 3 registrational program for EB613, continue the development of EB612 and support our other research and development activities. Our current operating plan and expected cash runway into 2030 reflect these anticipated increases in operating expenditures. Our expectations are based on management’s current assumptions, clinical development plans and regulatory submission timelines, which may prove to be wrong, and we could spend our available financial resources much faster than we currently expect.</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Although we believe that our existing cash resources are sufficient to execute our current operating plan, we may seek additional capital in the future to support strategic opportunities, expand our pipeline, accelerate the development of our product candidates or pursue other business development initiatives. We continuously evaluate various financing alternatives in the public or private equity markets or through license of our N-Tab® platform to additional external parties through partnerships or research collaborations. However, any future financing may not be available on favorable terms, or at all, and any equity financing may result in dilution to our shareholders.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Other than the Leerink ATM Program,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our existing shareholders’ rights as shareholders.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 or collaborations, when needed, we may be required to delay, limit, reduce or terminate our product development or future commercialization efforts.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sets forth the primary sources and uses of cash for each of the periods set forth below:</w:t>
      </w:r>
    </w:p>
    <w:p>
      <w:pPr>
        <w:pStyle w:val="TextBody"/>
        <w:bidi w:val="0"/>
        <w:spacing w:lineRule="auto" w:line="300" w:before="0" w:after="0"/>
        <w:jc w:val="both"/>
        <w:rPr/>
      </w:pPr>
      <w:r>
        <w:rPr/>
        <w:t> </w:t>
      </w:r>
    </w:p>
    <w:tbl>
      <w:tblPr>
        <w:tblW w:w="7483" w:type="dxa"/>
        <w:jc w:val="left"/>
        <w:tblInd w:w="0" w:type="dxa"/>
        <w:tblLayout w:type="fixed"/>
        <w:tblCellMar>
          <w:top w:w="0" w:type="dxa"/>
          <w:left w:w="0" w:type="dxa"/>
          <w:bottom w:w="0" w:type="dxa"/>
          <w:right w:w="0" w:type="dxa"/>
        </w:tblCellMar>
      </w:tblPr>
      <w:tblGrid>
        <w:gridCol w:w="5030"/>
        <w:gridCol w:w="60"/>
        <w:gridCol w:w="183"/>
        <w:gridCol w:w="864"/>
        <w:gridCol w:w="117"/>
        <w:gridCol w:w="87"/>
        <w:gridCol w:w="183"/>
        <w:gridCol w:w="864"/>
        <w:gridCol w:w="95"/>
      </w:tblGrid>
      <w:tr>
        <w:trPr/>
        <w:tc>
          <w:tcPr>
            <w:tcW w:w="50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i/>
                <w:sz w:val="20"/>
              </w:rPr>
            </w:pPr>
            <w:r>
              <w:rPr>
                <w:rFonts w:ascii="Times New Roman;Times;serif" w:hAnsi="Times New Roman;Times;serif"/>
                <w:b/>
                <w:i/>
                <w:sz w:val="20"/>
              </w:rPr>
              <w:t>Six Months Ended June 30,</w:t>
              <w:br/>
              <w:t>(unaudited)</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 thousands)</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(6,554</w:t>
            </w:r>
          </w:p>
        </w:tc>
        <w:tc>
          <w:tcPr>
            <w:tcW w:w="1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(3,035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10,089</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13,286</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Exchange Rate change on cash and cash equivalents</w:t>
            </w:r>
          </w:p>
        </w:tc>
        <w:tc>
          <w:tcPr>
            <w:tcW w:w="6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w:t>
            </w:r>
          </w:p>
        </w:tc>
        <w:tc>
          <w:tcPr>
            <w:tcW w:w="1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3,553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10,214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$6.6 million, consisting primarily of our operating expenses of $8.1 million and decrease of $0.2 million in our net operating assets and liabilities, and approximately $1.3 million of share-based compensation and depreciation expenses.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was $3.0 million, consisting primarily of our operating expenses of $5.2 million, which was partially offset by approximately $1.1 million of share-based compensation and depreciation expenses and a decrease of $1.1 million in our net operating assets and liabilities.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change in cash used in operating activities for six months ended June 30, 2026 compared to the same period in 2025 was mainly attributed to an increase of $2.9 million in our operating expenses and an increase of $0.9 million in our net operating assets and liabilities, which was partially offset by an increase of $0.2 million of share-based compensation and depreciation expense.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and 2025 consisted primarily of the purchase of property and equipment.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2026 consisted of the net proceeds of $9.8 million from the issuance of the securities in the April 2026 Private Placement and $0.3 million from the issuance of Ordinary Shares upon the exercise of outstanding options.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2025 consisted of the net proceeds of $6.0 million from the issuance of Ordinary Shares under the Leerink ATM Program, $0.2 million from the issuance of Ordinary Shares upon the exercise of outstanding warrants and $7.2 million from issuance of Ordinary Shares under the 2025 Collaboration Agreement.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have not been any material changes in our assessment of material contractual obligations and commitments as set forth in Part II, Item 7 “Management’s Discussion and Analysis of Financial Condition and Results of Operations” of our 2025 Annual Report.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See Part II, Item 7 “Management’s Discussion and Analysis of Financial Condition and Results of Operations – Critical Accounting Policies” and our consolidated financial statements and related notes included in the 2025 Annual Report for accounting policies and related estimates we believe are the most critical to understanding our consolidated financial statements, financial condition and results of operations and which require complex management judgment and assumptions, or involve uncertainties. The preparation of consolidated financial statements also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There have been no changes to our critical accounting policies or their application since the date of the 2025 Annual Report.</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bidi w:val="0"/>
        <w:spacing w:lineRule="auto" w:line="300" w:before="200" w:after="200"/>
        <w:jc w:val="left"/>
        <w:rPr/>
      </w:pPr>
      <w:r>
        <w:rPr/>
      </w:r>
    </w:p>
    <w:p>
      <w:pPr>
        <w:pStyle w:val="TextBody"/>
        <w:bidi w:val="0"/>
        <w:spacing w:lineRule="auto" w:line="300" w:before="0" w:after="0"/>
        <w:jc w:val="both"/>
        <w:rPr/>
      </w:pPr>
      <w:r>
        <w:rPr/>
        <w:t> </w:t>
      </w:r>
      <w:r>
        <w:rPr>
          <w:rFonts w:ascii="Times New Roman;Times;serif" w:hAnsi="Times New Roman;Times;serif"/>
          <w:b/>
          <w:sz w:val="20"/>
        </w:rPr>
        <w:t>Recently Issued Accounting Pronouncements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Certain recently issued accounting pronouncements are discussed in Note 2 to the unaudited condensed consolidated financial statements included elsewhere in this Quarterly Report.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3</w:t>
      </w:r>
      <w:bookmarkStart w:id="13" w:name="ITEM3"/>
      <w:bookmarkEnd w:id="13"/>
      <w:r>
        <w:rPr>
          <w:rFonts w:ascii="Times New Roman;Times;serif" w:hAnsi="Times New Roman;Times;serif"/>
          <w:b/>
          <w:sz w:val="20"/>
        </w:rPr>
        <w:t>. QUANTITATIVE AND QUALITATIVE DISCLOSURES ABOUT MARKET RISK</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4</w:t>
      </w:r>
      <w:bookmarkStart w:id="14" w:name="ITEM4"/>
      <w:bookmarkEnd w:id="14"/>
      <w:r>
        <w:rPr>
          <w:rFonts w:ascii="Times New Roman;Times;serif" w:hAnsi="Times New Roman;Times;serif"/>
          <w:b/>
          <w:sz w:val="20"/>
        </w:rPr>
        <w:t>. CONTROLS AND PROCEDURES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such term is defined in Rules 13a-15(e) and 15d-15(e) under the Exchange Act) as of June 30, 2026, which we refer to as the Evaluation Date. Based on such evaluation, our Chief Executive Officer and Chief Financial Officer have concluded that, as of the Evaluation Date, our disclosure controls and procedures were effective.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that occurred during the last fiscal quarter that have materially affected, or are reasonably likely to materially affect, our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PART II</w:t>
      </w:r>
      <w:bookmarkStart w:id="15" w:name="PARTII"/>
      <w:bookmarkEnd w:id="15"/>
      <w:r>
        <w:rPr>
          <w:rFonts w:ascii="Times New Roman;Times;serif" w:hAnsi="Times New Roman;Times;serif"/>
          <w:b/>
          <w:sz w:val="20"/>
        </w:rPr>
        <w:t xml:space="preserve"> – OTHER INFORMATION.</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1</w:t>
      </w:r>
      <w:bookmarkStart w:id="16" w:name="ITEM1ii"/>
      <w:bookmarkEnd w:id="16"/>
      <w:r>
        <w:rPr>
          <w:rFonts w:ascii="Times New Roman;Times;serif" w:hAnsi="Times New Roman;Times;serif"/>
          <w:b/>
          <w:sz w:val="20"/>
        </w:rPr>
        <w:t>. LEGAL PROCEEDINGS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1A</w:t>
      </w:r>
      <w:bookmarkStart w:id="17" w:name="ITEM1Aii"/>
      <w:bookmarkEnd w:id="17"/>
      <w:r>
        <w:rPr>
          <w:rFonts w:ascii="Times New Roman;Times;serif" w:hAnsi="Times New Roman;Times;serif"/>
          <w:b/>
          <w:sz w:val="20"/>
        </w:rPr>
        <w:t>. RISK FACTORS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Except as set forth below in this Item 1A, there have been no material changes with respect to the risk factors disclosed in Part I, Item 1A. of our 2025 Annual Report.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Security, political and economic instability in the Middle East may harm our business.</w:t>
      </w:r>
    </w:p>
    <w:p>
      <w:pPr>
        <w:pStyle w:val="TextBody"/>
        <w:bidi w:val="0"/>
        <w:spacing w:lineRule="auto" w:line="300" w:before="0" w:after="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bidi w:val="0"/>
        <w:spacing w:lineRule="auto" w:line="300" w:before="200" w:after="200"/>
        <w:jc w:val="left"/>
        <w:rPr/>
      </w:pPr>
      <w:r>
        <w:rPr/>
      </w:r>
    </w:p>
    <w:p>
      <w:pPr>
        <w:pStyle w:val="TextBody"/>
        <w:bidi w:val="0"/>
        <w:spacing w:lineRule="auto" w:line="300" w:before="0" w:after="0"/>
        <w:ind w:left="2" w:right="2" w:firstLine="720"/>
        <w:jc w:val="both"/>
        <w:rPr/>
      </w:pPr>
      <w:r>
        <w:rPr/>
        <w:t> </w:t>
      </w:r>
      <w:r>
        <w:rPr>
          <w:rFonts w:ascii="Times New Roman;Times;serif" w:hAnsi="Times New Roman;Times;serif"/>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 </w:t>
      </w:r>
    </w:p>
    <w:p>
      <w:pPr>
        <w:pStyle w:val="TextBody"/>
        <w:bidi w:val="0"/>
        <w:spacing w:lineRule="auto" w:line="300" w:before="0" w:after="0"/>
        <w:jc w:val="left"/>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In early April 2026, a two-week ceasefire between the United States and Iran was agreed. On June 17, 2026, the United States and Iran signed a 14-point memorandum of understanding that formalized the ceasefire, ended the U.S. naval blockade of Iranian ports, provided for the reopening of the Strait of Hormuz and commenced a 60-day period to negotiate a final agreement. Those negotiations subsequently stalled and the ceasefire broke down. Beginning in late June 2026, Iran resumed attacks on commercial vessels transiting the Strait of Hormuz and on U.S. military facilities in Bahrain, Kuwait and Jordan, and the United States has resumed large-scale air strikes against Iranian military and maritime targets. In July 2026, Iran announced the closure of the Strait of Hormuz and the United States reinstated its naval blockade of Iranian ports. U.S. strikes on Iran have continued on a near-daily basis, and Iran has to date rejected proposals for a renewed ceasefire. Although Israel has not participated in the current round of strikes on Iran, in June 2026 Iran launched ballistic missiles toward northern Israel and Israel conducted retaliatory strikes in Iran, and Israel’s Home Front Command has from time to time imposed restrictions on civilian activity.  There can be no assurance that a ceasefire will be restored, and hostilities between the United States, Israel and Iran could resume or further escalate at any time.</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On April 16, 2026, following direct talks between Israeli and Lebanese officials in Washington, D.C., a 10-day cessation of hostilities between Israel and Lebanon was announced, brokered by the United States. On June 26, 2026, following further U.S.-brokered negotiations, Israel, Lebanon and the United States signed a trilateral framework agreement providing for the disarmament of Hezbollah by the Lebanese Armed Forces, beginning in designated pilot zones, and a phased withdrawal of Israeli forces from southern Lebanon. Implementation has been limited to date, Israeli forces remain stationed in southern Lebanon and Hezbollah has not accepted the terms as binding, stating that its fighters will remain deployed and will respond to any violations. The arrangement remains fragile, with reports of continued military operations by both sides in southern Lebanon.</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bidi w:val="0"/>
        <w:spacing w:lineRule="auto" w:line="300" w:before="200" w:after="200"/>
        <w:jc w:val="left"/>
        <w:rPr/>
      </w:pPr>
      <w:r>
        <w:rPr/>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which resumed in July 2026 following the breakdown of the June 2026 ceasefire. In addition, the ceasefire framework in Gaza remains in place but implementation of its later phases has stalled, and the Houthis have renewed threats against commercial shipping in the Red Sea. These developments have increased regional instability and may further escalate into more severe and prolonged hostilities, which could affect Israel and us.</w:t>
      </w:r>
    </w:p>
    <w:p>
      <w:pPr>
        <w:pStyle w:val="TextBody"/>
        <w:bidi w:val="0"/>
        <w:spacing w:lineRule="auto" w:line="300" w:before="0" w:after="0"/>
        <w:ind w:left="2" w:right="2" w:firstLine="720"/>
        <w:jc w:val="both"/>
        <w:rPr/>
      </w:pPr>
      <w:r>
        <w:rPr/>
        <w:t> </w:t>
      </w:r>
    </w:p>
    <w:p>
      <w:pPr>
        <w:pStyle w:val="TextBody"/>
        <w:bidi w:val="0"/>
        <w:spacing w:lineRule="auto" w:line="300" w:before="0" w:after="0"/>
        <w:ind w:left="2" w:right="2" w:firstLine="720"/>
        <w:jc w:val="both"/>
        <w:rPr>
          <w:rFonts w:ascii="Times New Roman;Times;serif" w:hAnsi="Times New Roman;Times;serif"/>
          <w:sz w:val="20"/>
        </w:rPr>
      </w:pPr>
      <w:r>
        <w:rPr>
          <w:rFonts w:ascii="Times New Roman;Times;serif" w:hAnsi="Times New Roman;Times;serif"/>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pStyle w:val="TextBody"/>
        <w:bidi w:val="0"/>
        <w:spacing w:lineRule="auto" w:line="300" w:before="0" w:after="0"/>
        <w:ind w:left="2" w:right="2" w:firstLine="72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2</w:t>
      </w:r>
      <w:bookmarkStart w:id="18" w:name="ITEM2ii"/>
      <w:bookmarkEnd w:id="18"/>
      <w:r>
        <w:rPr>
          <w:rFonts w:ascii="Times New Roman;Times;serif" w:hAnsi="Times New Roman;Times;serif"/>
          <w:b/>
          <w:sz w:val="20"/>
        </w:rPr>
        <w:t>. UNREGISTERED SALES OF EQUITY SECURITIES AND USE OF PROCEEDS</w:t>
      </w:r>
    </w:p>
    <w:p>
      <w:pPr>
        <w:pStyle w:val="TextBody"/>
        <w:bidi w:val="0"/>
        <w:spacing w:lineRule="auto" w:line="300" w:before="0" w:after="0"/>
        <w:jc w:val="both"/>
        <w:rPr/>
      </w:pPr>
      <w:r>
        <w:rPr/>
        <w:t> </w:t>
      </w:r>
    </w:p>
    <w:p>
      <w:pPr>
        <w:pStyle w:val="TextBody"/>
        <w:bidi w:val="0"/>
        <w:spacing w:lineRule="auto" w:line="300" w:before="0" w:after="0"/>
        <w:ind w:left="0" w:right="0" w:firstLine="360"/>
        <w:jc w:val="left"/>
        <w:rPr>
          <w:rFonts w:ascii="Times New Roman;Times;serif" w:hAnsi="Times New Roman;Times;serif"/>
          <w:sz w:val="20"/>
        </w:rPr>
      </w:pPr>
      <w:r>
        <w:rPr>
          <w:rFonts w:ascii="Times New Roman;Times;serif" w:hAnsi="Times New Roman;Times;serif"/>
          <w:sz w:val="20"/>
        </w:rPr>
        <w:t>On May 7, 2026, the board of directors of the Company granted 58,394 restricted stock units (“RSUs”) under the Company’s existing equity incentive plan to an entity controlled by an executive officer of the Company for services rendered by the executive officer in lieu of an annual cash bonus. The RSUs vest in four equal quarterly installments over a one-year period that commenced on May 1, 2026.</w:t>
        <w:b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offer and sale of the RSUs were not registered under the Securities Act or any state securities laws and may not be offered or sold in the United States absent registration under the Securities Act or an applicable exemption from registration requirements. The Company’s offer and sale of the RSUs were made in reliance upon the exemption from the registration requirements of the Securities Act pursuant to Section 4(a)(2) thereof and Regulation S promulgated thereunder.</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3</w:t>
      </w:r>
      <w:bookmarkStart w:id="19" w:name="ITEM3ii"/>
      <w:bookmarkEnd w:id="19"/>
      <w:r>
        <w:rPr>
          <w:rFonts w:ascii="Times New Roman;Times;serif" w:hAnsi="Times New Roman;Times;serif"/>
          <w:b/>
          <w:sz w:val="20"/>
        </w:rPr>
        <w:t>. DEFAULTS UPON SENIOR SECURITIES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4</w:t>
      </w:r>
      <w:bookmarkStart w:id="20" w:name="ITEM4ii"/>
      <w:bookmarkEnd w:id="20"/>
      <w:r>
        <w:rPr>
          <w:rFonts w:ascii="Times New Roman;Times;serif" w:hAnsi="Times New Roman;Times;serif"/>
          <w:b/>
          <w:sz w:val="20"/>
        </w:rPr>
        <w:t>. MINE SAFETY DISCLOSURES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5</w:t>
      </w:r>
      <w:bookmarkStart w:id="21" w:name="ITEM5ii"/>
      <w:bookmarkEnd w:id="21"/>
      <w:r>
        <w:rPr>
          <w:rFonts w:ascii="Times New Roman;Times;serif" w:hAnsi="Times New Roman;Times;serif"/>
          <w:b/>
          <w:sz w:val="20"/>
        </w:rPr>
        <w:t>. OTHER INFORMATION</w:t>
      </w:r>
    </w:p>
    <w:p>
      <w:pPr>
        <w:pStyle w:val="TextBody"/>
        <w:bidi w:val="0"/>
        <w:spacing w:lineRule="auto" w:line="300" w:before="0" w:after="0"/>
        <w:jc w:val="both"/>
        <w:rPr/>
      </w:pPr>
      <w:r>
        <w:rPr/>
        <w:t> </w:t>
      </w:r>
    </w:p>
    <w:p>
      <w:pPr>
        <w:pStyle w:val="TextBody"/>
        <w:bidi w:val="0"/>
        <w:spacing w:lineRule="auto" w:line="300" w:before="0" w:after="0"/>
        <w:jc w:val="both"/>
        <w:rPr/>
      </w:pPr>
      <w:r>
        <w:rPr>
          <w:rFonts w:ascii="Times New Roman;Times;serif" w:hAnsi="Times New Roman;Times;serif"/>
          <w:sz w:val="20"/>
        </w:rPr>
        <w:t>During the quarter ended June 30,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r>
        <w:rPr/>
        <w:t xml:space="preserve">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6</w:t>
      </w:r>
      <w:bookmarkStart w:id="22" w:name="ITEM6ii"/>
      <w:bookmarkEnd w:id="22"/>
      <w:r>
        <w:rPr>
          <w:rFonts w:ascii="Times New Roman;Times;serif" w:hAnsi="Times New Roman;Times;serif"/>
          <w:b/>
          <w:sz w:val="20"/>
        </w:rPr>
        <w:t>. EXHIBITS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28" w:type="dxa"/>
          <w:right w:w="0" w:type="dxa"/>
        </w:tblCellMar>
      </w:tblPr>
      <w:tblGrid>
        <w:gridCol w:w="811"/>
        <w:gridCol w:w="60"/>
        <w:gridCol w:w="9334"/>
      </w:tblGrid>
      <w:tr>
        <w:trPr/>
        <w:tc>
          <w:tcPr>
            <w:tcW w:w="811"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Description of Exhibits</w:t>
            </w:r>
          </w:p>
        </w:tc>
      </w:tr>
      <w:tr>
        <w:trPr/>
        <w:tc>
          <w:tcPr>
            <w:tcW w:w="811" w:type="dxa"/>
            <w:tcBorders/>
            <w:tcMar>
              <w:bottom w:w="0" w:type="dxa"/>
            </w:tcMar>
            <w:vAlign w:val="center"/>
          </w:tcPr>
          <w:p>
            <w:pPr>
              <w:pStyle w:val="TableContents"/>
              <w:bidi w:val="0"/>
              <w:spacing w:lineRule="auto" w:line="300" w:before="0" w:after="0"/>
              <w:jc w:val="center"/>
              <w:rPr/>
            </w:pPr>
            <w:hyperlink r:id="rId2">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r:id="rId3">
              <w:r>
                <w:rPr>
                  <w:rStyle w:val="InternetLink"/>
                  <w:rFonts w:ascii="Times New Roman;Times;serif" w:hAnsi="Times New Roman;Times;serif"/>
                  <w:sz w:val="20"/>
                </w:rPr>
                <w:t>Securities Purchase Agreement, dated as of April 1, 2026, by and between Entera Bio Ltd. and the purchaser party thereto (incorporated by reference to Exhibit 10.1 to the Current Report on Form 8-K filed by the Registrant on April 3, 2026).</w:t>
              </w:r>
            </w:hyperlink>
          </w:p>
        </w:tc>
      </w:tr>
      <w:tr>
        <w:trPr/>
        <w:tc>
          <w:tcPr>
            <w:tcW w:w="811" w:type="dxa"/>
            <w:tcBorders/>
            <w:tcMar>
              <w:bottom w:w="0" w:type="dxa"/>
            </w:tcMar>
            <w:vAlign w:val="center"/>
          </w:tcPr>
          <w:p>
            <w:pPr>
              <w:pStyle w:val="TableContents"/>
              <w:bidi w:val="0"/>
              <w:spacing w:lineRule="auto" w:line="300" w:before="0" w:after="0"/>
              <w:jc w:val="center"/>
              <w:rPr/>
            </w:pPr>
            <w:hyperlink r:id="rId4">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r:id="rId5">
              <w:r>
                <w:rPr>
                  <w:rStyle w:val="InternetLink"/>
                  <w:rFonts w:ascii="Times New Roman;Times;serif" w:hAnsi="Times New Roman;Times;serif"/>
                  <w:sz w:val="20"/>
                </w:rPr>
                <w:t>Form of Pre-Funded Warrant (incorporated by reference to Exhibit 10.2 to the Current Report on Form 8-K filed by the Registrant on April 3, 2026).</w:t>
              </w:r>
            </w:hyperlink>
          </w:p>
        </w:tc>
      </w:tr>
      <w:tr>
        <w:trPr/>
        <w:tc>
          <w:tcPr>
            <w:tcW w:w="811" w:type="dxa"/>
            <w:tcBorders/>
            <w:tcMar>
              <w:bottom w:w="0" w:type="dxa"/>
            </w:tcMar>
            <w:vAlign w:val="center"/>
          </w:tcPr>
          <w:p>
            <w:pPr>
              <w:pStyle w:val="TableContents"/>
              <w:bidi w:val="0"/>
              <w:spacing w:lineRule="auto" w:line="300" w:before="0" w:after="0"/>
              <w:jc w:val="center"/>
              <w:rPr/>
            </w:pPr>
            <w:hyperlink r:id="rId6">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r:id="rId7">
              <w:r>
                <w:rPr>
                  <w:rStyle w:val="InternetLink"/>
                  <w:rFonts w:ascii="Times New Roman;Times;serif" w:hAnsi="Times New Roman;Times;serif"/>
                  <w:sz w:val="20"/>
                </w:rPr>
                <w:t>Form of Ordinary Share Warrant (incorporated by reference to Exhibit 10.3 to the Current Report on Form 8-K filed by the Registrant on April 3, 2026).</w:t>
              </w:r>
            </w:hyperlink>
          </w:p>
        </w:tc>
      </w:tr>
      <w:tr>
        <w:trPr/>
        <w:tc>
          <w:tcPr>
            <w:tcW w:w="811" w:type="dxa"/>
            <w:tcBorders/>
            <w:tcMar>
              <w:bottom w:w="0" w:type="dxa"/>
            </w:tcMar>
            <w:vAlign w:val="center"/>
          </w:tcPr>
          <w:p>
            <w:pPr>
              <w:pStyle w:val="TableContents"/>
              <w:bidi w:val="0"/>
              <w:spacing w:lineRule="auto" w:line="300" w:before="0" w:after="0"/>
              <w:jc w:val="center"/>
              <w:rPr/>
            </w:pPr>
            <w:hyperlink r:id="rId8">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r:id="rId9">
              <w:r>
                <w:rPr>
                  <w:rStyle w:val="InternetLink"/>
                  <w:rFonts w:ascii="Times New Roman;Times;serif" w:hAnsi="Times New Roman;Times;serif"/>
                  <w:sz w:val="20"/>
                </w:rPr>
                <w:t>Registration Rights Agreement, dated as of April 2, 2026, by and among Entera Bio Ltd. and the purchaser party thereto (incorporated by reference to Exhibit 10.4 to the Current Report on Form 8-K filed by the Registrant on April 3, 2026).</w:t>
              </w:r>
            </w:hyperlink>
          </w:p>
        </w:tc>
      </w:tr>
      <w:tr>
        <w:trPr/>
        <w:tc>
          <w:tcPr>
            <w:tcW w:w="811" w:type="dxa"/>
            <w:tcBorders/>
            <w:tcMar>
              <w:bottom w:w="0" w:type="dxa"/>
            </w:tcMar>
            <w:vAlign w:val="center"/>
          </w:tcPr>
          <w:p>
            <w:pPr>
              <w:pStyle w:val="TableContents"/>
              <w:bidi w:val="0"/>
              <w:spacing w:lineRule="auto" w:line="300" w:before="0" w:after="0"/>
              <w:jc w:val="center"/>
              <w:rPr/>
            </w:pPr>
            <w:hyperlink w:anchor="exhibit_31-1.htm">
              <w:r>
                <w:rPr>
                  <w:rStyle w:val="InternetLink"/>
                  <w:rFonts w:ascii="Times New Roman;Times;serif" w:hAnsi="Times New Roman;Times;serif"/>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w:anchor="exhibit_31-1.htm">
              <w:r>
                <w:rPr>
                  <w:rStyle w:val="InternetLink"/>
                  <w:rFonts w:ascii="Times New Roman;Times;serif" w:hAnsi="Times New Roman;Times;serif"/>
                  <w:sz w:val="20"/>
                </w:rPr>
                <w:t>Certification of Principal Executive Officer Pursuant to Rules 13a-14(a) and 15d-14(a) under the Securities Exchange Act of 1934, as Adopted Pursuant to Section 302 of the Sarbanes-Oxley Act of 2002.</w:t>
              </w:r>
            </w:hyperlink>
          </w:p>
        </w:tc>
      </w:tr>
      <w:tr>
        <w:trPr/>
        <w:tc>
          <w:tcPr>
            <w:tcW w:w="811" w:type="dxa"/>
            <w:tcBorders/>
            <w:tcMar>
              <w:bottom w:w="0" w:type="dxa"/>
            </w:tcMar>
            <w:vAlign w:val="center"/>
          </w:tcPr>
          <w:p>
            <w:pPr>
              <w:pStyle w:val="TableContents"/>
              <w:bidi w:val="0"/>
              <w:spacing w:lineRule="auto" w:line="300" w:before="0" w:after="0"/>
              <w:jc w:val="center"/>
              <w:rPr/>
            </w:pPr>
            <w:hyperlink w:anchor="exhibit_31-2.htm">
              <w:r>
                <w:rPr>
                  <w:rStyle w:val="InternetLink"/>
                  <w:rFonts w:ascii="Times New Roman;Times;serif" w:hAnsi="Times New Roman;Times;serif"/>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w:anchor="exhibit_31-2.htm">
              <w:r>
                <w:rPr>
                  <w:rStyle w:val="InternetLink"/>
                  <w:rFonts w:ascii="Times New Roman;Times;serif" w:hAnsi="Times New Roman;Times;serif"/>
                  <w:sz w:val="20"/>
                </w:rPr>
                <w:t>Certification of Principal Financial Officer Pursuant to Rules 13a-14(a) and 15d-14(a) under the Securities Exchange Act of 1934, as Adopted Pursuant to Section 302 of the Sarbanes-Oxley Act of 2002.</w:t>
              </w:r>
            </w:hyperlink>
          </w:p>
        </w:tc>
      </w:tr>
      <w:tr>
        <w:trPr/>
        <w:tc>
          <w:tcPr>
            <w:tcW w:w="811" w:type="dxa"/>
            <w:tcBorders/>
            <w:tcMar>
              <w:bottom w:w="0" w:type="dxa"/>
            </w:tcMar>
            <w:vAlign w:val="center"/>
          </w:tcPr>
          <w:p>
            <w:pPr>
              <w:pStyle w:val="TableContents"/>
              <w:bidi w:val="0"/>
              <w:spacing w:lineRule="auto" w:line="300" w:before="0" w:after="0"/>
              <w:jc w:val="center"/>
              <w:rPr/>
            </w:pPr>
            <w:hyperlink w:anchor="exhibit_32-1.htm">
              <w:r>
                <w:rPr>
                  <w:rStyle w:val="InternetLink"/>
                  <w:rFonts w:ascii="Times New Roman;Times;serif" w:hAnsi="Times New Roman;Times;serif"/>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811" w:type="dxa"/>
            <w:tcBorders/>
            <w:tcMar>
              <w:bottom w:w="0" w:type="dxa"/>
            </w:tcMar>
            <w:vAlign w:val="center"/>
          </w:tcPr>
          <w:p>
            <w:pPr>
              <w:pStyle w:val="TableContents"/>
              <w:bidi w:val="0"/>
              <w:spacing w:lineRule="auto" w:line="300" w:before="0" w:after="0"/>
              <w:jc w:val="center"/>
              <w:rPr/>
            </w:pPr>
            <w:hyperlink w:anchor="exhibit_32-2.htm">
              <w:r>
                <w:rPr>
                  <w:rStyle w:val="InternetLink"/>
                  <w:rFonts w:ascii="Times New Roman;Times;serif" w:hAnsi="Times New Roman;Times;serif"/>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9334" w:type="dxa"/>
            <w:tcBorders/>
            <w:tcMar>
              <w:bottom w:w="0" w:type="dxa"/>
            </w:tcMar>
            <w:vAlign w:val="center"/>
          </w:tcPr>
          <w:p>
            <w:pPr>
              <w:pStyle w:val="TableContents"/>
              <w:bidi w:val="0"/>
              <w:spacing w:lineRule="auto" w:line="300" w:before="0" w:after="0"/>
              <w:jc w:val="both"/>
              <w:rPr/>
            </w:pPr>
            <w:hyperlink w:anchor="exhibit_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101.INS</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Instance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101.DEF</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101.CAL</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101.LAB</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101.PRE</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11"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lineRule="auto" w:line="300" w:before="0" w:after="0"/>
              <w:jc w:val="left"/>
              <w:rPr/>
            </w:pPr>
            <w:r>
              <w:rPr/>
              <w:t> </w:t>
            </w:r>
          </w:p>
        </w:tc>
        <w:tc>
          <w:tcPr>
            <w:tcW w:w="9334"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bidi w:val="0"/>
        <w:spacing w:lineRule="auto" w:line="300" w:before="200" w:after="200"/>
        <w:jc w:val="left"/>
        <w:rPr/>
      </w:pPr>
      <w:r>
        <w:rPr/>
      </w:r>
    </w:p>
    <w:p>
      <w:pPr>
        <w:pStyle w:val="TextBody"/>
        <w:bidi w:val="0"/>
        <w:spacing w:lineRule="auto" w:line="300" w:before="0" w:after="0"/>
        <w:jc w:val="center"/>
        <w:rPr/>
      </w:pPr>
      <w:r>
        <w:rPr/>
        <w:t> </w:t>
      </w:r>
      <w:bookmarkStart w:id="23" w:name="SIGNATURES"/>
      <w:bookmarkEnd w:id="23"/>
      <w:r>
        <w:rPr>
          <w:rFonts w:ascii="Times New Roman;Times;serif" w:hAnsi="Times New Roman;Times;serif"/>
          <w:b/>
          <w:sz w:val="20"/>
        </w:rPr>
        <w:t>SIGNATURES</w:t>
      </w:r>
    </w:p>
    <w:p>
      <w:pPr>
        <w:pStyle w:val="TextBody"/>
        <w:bidi w:val="0"/>
        <w:spacing w:lineRule="auto" w:line="300" w:before="0" w:after="0"/>
        <w:jc w:val="center"/>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00" w:before="0" w:after="0"/>
        <w:ind w:left="0" w:right="0" w:firstLine="490"/>
        <w:jc w:val="both"/>
        <w:rPr/>
      </w:pPr>
      <w:r>
        <w:rPr/>
        <w:t> </w:t>
      </w:r>
    </w:p>
    <w:tbl>
      <w:tblPr>
        <w:tblW w:w="5515" w:type="dxa"/>
        <w:jc w:val="left"/>
        <w:tblInd w:w="0" w:type="dxa"/>
        <w:tblLayout w:type="fixed"/>
        <w:tblCellMar>
          <w:top w:w="0" w:type="dxa"/>
          <w:left w:w="0" w:type="dxa"/>
          <w:bottom w:w="0" w:type="dxa"/>
          <w:right w:w="0" w:type="dxa"/>
        </w:tblCellMar>
      </w:tblPr>
      <w:tblGrid>
        <w:gridCol w:w="1760"/>
        <w:gridCol w:w="3755"/>
      </w:tblGrid>
      <w:tr>
        <w:trPr/>
        <w:tc>
          <w:tcPr>
            <w:tcW w:w="1760" w:type="dxa"/>
            <w:tcBorders/>
            <w:vAlign w:val="center"/>
          </w:tcPr>
          <w:p>
            <w:pPr>
              <w:pStyle w:val="TableContents"/>
              <w:bidi w:val="0"/>
              <w:spacing w:lineRule="auto" w:line="300" w:before="0" w:after="0"/>
              <w:jc w:val="left"/>
              <w:rPr/>
            </w:pPr>
            <w:r>
              <w:rPr/>
              <w:t> </w:t>
            </w:r>
          </w:p>
        </w:tc>
        <w:tc>
          <w:tcPr>
            <w:tcW w:w="37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ENTERA BIO LTD.</w:t>
            </w:r>
          </w:p>
        </w:tc>
      </w:tr>
      <w:tr>
        <w:trPr/>
        <w:tc>
          <w:tcPr>
            <w:tcW w:w="1760" w:type="dxa"/>
            <w:tcBorders/>
            <w:vAlign w:val="center"/>
          </w:tcPr>
          <w:p>
            <w:pPr>
              <w:pStyle w:val="TableContents"/>
              <w:bidi w:val="0"/>
              <w:spacing w:lineRule="auto" w:line="300" w:before="0" w:after="0"/>
              <w:jc w:val="left"/>
              <w:rPr/>
            </w:pPr>
            <w:r>
              <w:rPr/>
              <w:t> </w:t>
            </w:r>
          </w:p>
        </w:tc>
        <w:tc>
          <w:tcPr>
            <w:tcW w:w="3755" w:type="dxa"/>
            <w:tcBorders/>
            <w:vAlign w:val="center"/>
          </w:tcPr>
          <w:p>
            <w:pPr>
              <w:pStyle w:val="TableContents"/>
              <w:bidi w:val="0"/>
              <w:spacing w:lineRule="auto" w:line="300" w:before="0" w:after="0"/>
              <w:jc w:val="left"/>
              <w:rPr/>
            </w:pPr>
            <w:r>
              <w:rPr/>
              <w:t> </w:t>
            </w:r>
          </w:p>
        </w:tc>
      </w:tr>
      <w:tr>
        <w:trPr/>
        <w:tc>
          <w:tcPr>
            <w:tcW w:w="17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7, 2026</w:t>
            </w:r>
          </w:p>
        </w:tc>
        <w:tc>
          <w:tcPr>
            <w:tcW w:w="37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Miranda Toledano</w:t>
            </w:r>
          </w:p>
        </w:tc>
      </w:tr>
      <w:tr>
        <w:trPr/>
        <w:tc>
          <w:tcPr>
            <w:tcW w:w="1760" w:type="dxa"/>
            <w:tcBorders/>
            <w:vAlign w:val="center"/>
          </w:tcPr>
          <w:p>
            <w:pPr>
              <w:pStyle w:val="TableContents"/>
              <w:bidi w:val="0"/>
              <w:spacing w:lineRule="auto" w:line="300" w:before="0" w:after="0"/>
              <w:jc w:val="left"/>
              <w:rPr/>
            </w:pPr>
            <w:r>
              <w:rPr/>
              <w:t> </w:t>
            </w:r>
          </w:p>
        </w:tc>
        <w:tc>
          <w:tcPr>
            <w:tcW w:w="3755" w:type="dxa"/>
            <w:tcBorders>
              <w:top w:val="single" w:sz="12" w:space="0" w:color="000000"/>
            </w:tcBorders>
            <w:tcMar>
              <w:top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Miranda Toledano</w:t>
              <w:br/>
              <w:t>Chief Executive Officer</w:t>
            </w:r>
          </w:p>
        </w:tc>
      </w:tr>
      <w:tr>
        <w:trPr/>
        <w:tc>
          <w:tcPr>
            <w:tcW w:w="1760" w:type="dxa"/>
            <w:tcBorders/>
            <w:vAlign w:val="center"/>
          </w:tcPr>
          <w:p>
            <w:pPr>
              <w:pStyle w:val="TableContents"/>
              <w:bidi w:val="0"/>
              <w:spacing w:lineRule="auto" w:line="300" w:before="0" w:after="0"/>
              <w:jc w:val="left"/>
              <w:rPr/>
            </w:pPr>
            <w:r>
              <w:rPr/>
              <w:t> </w:t>
            </w:r>
          </w:p>
        </w:tc>
        <w:tc>
          <w:tcPr>
            <w:tcW w:w="3755" w:type="dxa"/>
            <w:tcBorders/>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760" w:type="dxa"/>
            <w:tcBorders/>
            <w:vAlign w:val="center"/>
          </w:tcPr>
          <w:p>
            <w:pPr>
              <w:pStyle w:val="TableContents"/>
              <w:bidi w:val="0"/>
              <w:spacing w:lineRule="auto" w:line="300" w:before="0" w:after="0"/>
              <w:jc w:val="left"/>
              <w:rPr/>
            </w:pPr>
            <w:r>
              <w:rPr/>
              <w:t> </w:t>
            </w:r>
          </w:p>
        </w:tc>
        <w:tc>
          <w:tcPr>
            <w:tcW w:w="3755" w:type="dxa"/>
            <w:tcBorders/>
            <w:vAlign w:val="center"/>
          </w:tcPr>
          <w:p>
            <w:pPr>
              <w:pStyle w:val="TableContents"/>
              <w:bidi w:val="0"/>
              <w:spacing w:lineRule="auto" w:line="300" w:before="0" w:after="0"/>
              <w:jc w:val="left"/>
              <w:rPr/>
            </w:pPr>
            <w:r>
              <w:rPr/>
              <w:t> </w:t>
            </w:r>
          </w:p>
        </w:tc>
      </w:tr>
      <w:tr>
        <w:trPr/>
        <w:tc>
          <w:tcPr>
            <w:tcW w:w="17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7, 2026</w:t>
            </w:r>
          </w:p>
        </w:tc>
        <w:tc>
          <w:tcPr>
            <w:tcW w:w="37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Dana Yaacov-Garbeli</w:t>
            </w:r>
          </w:p>
        </w:tc>
      </w:tr>
      <w:tr>
        <w:trPr/>
        <w:tc>
          <w:tcPr>
            <w:tcW w:w="1760" w:type="dxa"/>
            <w:tcBorders/>
            <w:vAlign w:val="center"/>
          </w:tcPr>
          <w:p>
            <w:pPr>
              <w:pStyle w:val="TableContents"/>
              <w:bidi w:val="0"/>
              <w:spacing w:lineRule="auto" w:line="300" w:before="0" w:after="0"/>
              <w:jc w:val="left"/>
              <w:rPr/>
            </w:pPr>
            <w:r>
              <w:rPr/>
              <w:t> </w:t>
            </w:r>
          </w:p>
        </w:tc>
        <w:tc>
          <w:tcPr>
            <w:tcW w:w="3755" w:type="dxa"/>
            <w:tcBorders>
              <w:top w:val="single" w:sz="12" w:space="0" w:color="000000"/>
            </w:tcBorders>
            <w:tcMar>
              <w:top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Dana Yaacov-Garbeli</w:t>
              <w:br/>
              <w:t>Chief Financial Officer</w:t>
            </w:r>
          </w:p>
        </w:tc>
      </w:tr>
      <w:tr>
        <w:trPr/>
        <w:tc>
          <w:tcPr>
            <w:tcW w:w="1760" w:type="dxa"/>
            <w:tcBorders/>
            <w:vAlign w:val="center"/>
          </w:tcPr>
          <w:p>
            <w:pPr>
              <w:pStyle w:val="TableContents"/>
              <w:bidi w:val="0"/>
              <w:spacing w:lineRule="auto" w:line="300" w:before="0" w:after="0"/>
              <w:jc w:val="left"/>
              <w:rPr/>
            </w:pPr>
            <w:r>
              <w:rPr/>
              <w:t> </w:t>
            </w:r>
          </w:p>
        </w:tc>
        <w:tc>
          <w:tcPr>
            <w:tcW w:w="3755" w:type="dxa"/>
            <w:tcBorders/>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300" w:before="0" w:after="0"/>
        <w:jc w:val="left"/>
        <w:rPr/>
      </w:pPr>
      <w:r>
        <w:rPr/>
        <w:t> </w:t>
      </w:r>
    </w:p>
    <w:p>
      <w:pPr>
        <w:pStyle w:val="TextBody"/>
        <w:bidi w:val="0"/>
        <w:spacing w:before="0" w:after="0"/>
        <w:jc w:val="center"/>
        <w:rPr/>
      </w:pPr>
      <w:r>
        <w:rPr>
          <w:rFonts w:ascii="Times New Roman;Times;serif" w:hAnsi="Times New Roman;Times;serif"/>
          <w:b w:val="false"/>
          <w:i w:val="false"/>
          <w:caps w:val="false"/>
          <w:smallCaps w:val="false"/>
          <w:sz w:val="20"/>
        </w:rPr>
        <w:t>37</w:t>
      </w:r>
      <w:r>
        <w:rPr/>
        <w:t xml:space="preserve"> </w:t>
      </w:r>
    </w:p>
    <w:p>
      <w:pPr>
        <w:pStyle w:val="HorizontalLine"/>
        <w:bidi w:val="0"/>
        <w:jc w:val="center"/>
        <w:rPr/>
      </w:pPr>
      <w:r>
        <w:rPr/>
      </w:r>
    </w:p>
    <w:p>
      <w:pPr>
        <w:pStyle w:val="HorizontalLine"/>
        <w:bidi w:val="0"/>
        <w:jc w:val="left"/>
        <w:rPr/>
      </w:pPr>
      <w:r>
        <w:rPr/>
      </w:r>
      <w:bookmarkStart w:id="24" w:name="exhibit_31-1.htm"/>
      <w:bookmarkStart w:id="25" w:name="ksexhibit_311"/>
      <w:bookmarkStart w:id="26" w:name="exhibit_31-1.htm"/>
      <w:bookmarkStart w:id="27" w:name="ksexhibit_311"/>
      <w:bookmarkEnd w:id="26"/>
      <w:bookmarkEnd w:id="27"/>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31.1</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302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Miranda Toledano, certify that: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93bb3cbd840748e6bd364c3b443b4a9b"/>
      <w:bookmarkStart w:id="29" w:name="z93bb3cbd840748e6bd364c3b443b4a9b"/>
      <w:bookmarkEnd w:id="29"/>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pPr>
            <w:r>
              <w:rPr/>
              <w:t>1.</w:t>
            </w:r>
          </w:p>
        </w:tc>
        <w:tc>
          <w:tcPr>
            <w:tcW w:w="9973" w:type="dxa"/>
            <w:tcBorders/>
            <w:vAlign w:val="center"/>
          </w:tcPr>
          <w:p>
            <w:pPr>
              <w:pStyle w:val="TableContents"/>
              <w:bidi w:val="0"/>
              <w:spacing w:before="0" w:after="0"/>
              <w:jc w:val="both"/>
              <w:rPr/>
            </w:pPr>
            <w:r>
              <w:rPr/>
              <w:t>I have reviewed this Quarterly Report on Form 10-Q for the fiscal quarter ended June 30, 2026 of Entera Bio Ltd.;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88ad87f46be349a894caeccc25d8fefa"/>
      <w:bookmarkStart w:id="31" w:name="z88ad87f46be349a894caeccc25d8fefa"/>
      <w:bookmarkEnd w:id="31"/>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60da94a4dfd949e9a0d007cf563702c7"/>
      <w:bookmarkStart w:id="33" w:name="z60da94a4dfd949e9a0d007cf563702c7"/>
      <w:bookmarkEnd w:id="33"/>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a99a7b41ff8e4405892c4dc1c0f8b3e6"/>
      <w:bookmarkStart w:id="35" w:name="za99a7b41ff8e4405892c4dc1c0f8b3e6"/>
      <w:bookmarkEnd w:id="35"/>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94ea3a039b7043d2a625979687230ee1"/>
      <w:bookmarkStart w:id="37" w:name="z94ea3a039b7043d2a625979687230ee1"/>
      <w:bookmarkEnd w:id="3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62c3979c414440438e6784221b5f8168"/>
      <w:bookmarkStart w:id="39" w:name="z62c3979c414440438e6784221b5f8168"/>
      <w:bookmarkEnd w:id="3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08bcdb76485940f1b2fcd5aee75213d5"/>
      <w:bookmarkStart w:id="41" w:name="z08bcdb76485940f1b2fcd5aee75213d5"/>
      <w:bookmarkEnd w:id="4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1e2088b7a775494387ba5f95d22745ee"/>
      <w:bookmarkStart w:id="43" w:name="z1e2088b7a775494387ba5f95d22745ee"/>
      <w:bookmarkEnd w:id="4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e2d8ac0e90004aa0807a92a9dbabfeaa"/>
      <w:bookmarkStart w:id="45" w:name="ze2d8ac0e90004aa0807a92a9dbabfeaa"/>
      <w:bookmarkEnd w:id="45"/>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3ff4c0f089ae4695bbb77b5b9f179fd5"/>
      <w:bookmarkStart w:id="47" w:name="z3ff4c0f089ae4695bbb77b5b9f179fd5"/>
      <w:bookmarkEnd w:id="4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ccfc805d527949c6aab99b43ad8de9ff"/>
      <w:bookmarkStart w:id="49" w:name="zccfc805d527949c6aab99b43ad8de9ff"/>
      <w:bookmarkEnd w:id="4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 w:name="a5deabb4710741c79a72da674d2f6285"/>
      <w:bookmarkStart w:id="51" w:name="a5deabb4710741c79a72da674d2f6285"/>
      <w:bookmarkEnd w:id="51"/>
    </w:p>
    <w:tbl>
      <w:tblPr>
        <w:tblW w:w="4810" w:type="dxa"/>
        <w:jc w:val="left"/>
        <w:tblInd w:w="0" w:type="dxa"/>
        <w:tblLayout w:type="fixed"/>
        <w:tblCellMar>
          <w:top w:w="0" w:type="dxa"/>
          <w:left w:w="0" w:type="dxa"/>
          <w:bottom w:w="0" w:type="dxa"/>
          <w:right w:w="0" w:type="dxa"/>
        </w:tblCellMar>
      </w:tblPr>
      <w:tblGrid>
        <w:gridCol w:w="2060"/>
        <w:gridCol w:w="2750"/>
      </w:tblGrid>
      <w:tr>
        <w:trPr/>
        <w:tc>
          <w:tcPr>
            <w:tcW w:w="2060" w:type="dxa"/>
            <w:tcBorders/>
            <w:vAlign w:val="center"/>
          </w:tcPr>
          <w:p>
            <w:pPr>
              <w:pStyle w:val="TableContents"/>
              <w:bidi w:val="0"/>
              <w:spacing w:before="0" w:after="283"/>
              <w:jc w:val="left"/>
              <w:rPr/>
            </w:pPr>
            <w:r>
              <w:rPr/>
              <w:t>Date: August 7, 2026</w:t>
            </w:r>
          </w:p>
        </w:tc>
        <w:tc>
          <w:tcPr>
            <w:tcW w:w="2750" w:type="dxa"/>
            <w:tcBorders/>
            <w:vAlign w:val="center"/>
          </w:tcPr>
          <w:p>
            <w:pPr>
              <w:pStyle w:val="TableContents"/>
              <w:bidi w:val="0"/>
              <w:spacing w:before="0" w:after="283"/>
              <w:jc w:val="left"/>
              <w:rPr>
                <w:u w:val="single"/>
              </w:rPr>
            </w:pPr>
            <w:r>
              <w:rPr>
                <w:u w:val="single"/>
              </w:rPr>
              <w:t>/s/ Miranda Toledano</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Miranda Toledano</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Chief Executive Officer</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(Principal Executive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52" w:name="exhibit_31-2.htm"/>
      <w:bookmarkStart w:id="53" w:name="ksexhibit_312"/>
      <w:bookmarkStart w:id="54" w:name="exhibit_31-2.htm"/>
      <w:bookmarkStart w:id="55" w:name="ksexhibit_312"/>
      <w:bookmarkEnd w:id="54"/>
      <w:bookmarkEnd w:id="55"/>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31.2</w:t>
      </w:r>
    </w:p>
    <w:p>
      <w:pPr>
        <w:pStyle w:val="TextBody"/>
        <w:bidi w:val="0"/>
        <w:spacing w:lineRule="auto" w:line="300" w:before="0" w:after="0"/>
        <w:jc w:val="both"/>
        <w:rPr>
          <w:b/>
        </w:rPr>
      </w:pPr>
      <w:r>
        <w:rPr>
          <w:b/>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302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Dana Yaacov-Garbeli, certify that: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16119af879bb417bb5ef5d99312691d1"/>
      <w:bookmarkStart w:id="57" w:name="z16119af879bb417bb5ef5d99312691d1"/>
      <w:bookmarkEnd w:id="57"/>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pPr>
            <w:r>
              <w:rPr/>
              <w:t>1.</w:t>
            </w:r>
          </w:p>
        </w:tc>
        <w:tc>
          <w:tcPr>
            <w:tcW w:w="9973" w:type="dxa"/>
            <w:tcBorders/>
            <w:vAlign w:val="center"/>
          </w:tcPr>
          <w:p>
            <w:pPr>
              <w:pStyle w:val="TableContents"/>
              <w:bidi w:val="0"/>
              <w:spacing w:before="0" w:after="0"/>
              <w:jc w:val="both"/>
              <w:rPr/>
            </w:pPr>
            <w:r>
              <w:rPr/>
              <w:t>I have reviewed this Quarterly Report on Form 10-Q for the fiscal quarter ended June 30, 2026 of Entera Bio Ltd.;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6ceee30fc9e648748649aaeac99c43dd"/>
      <w:bookmarkStart w:id="59" w:name="z6ceee30fc9e648748649aaeac99c43dd"/>
      <w:bookmarkEnd w:id="59"/>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b0a52e999a7c46aaad4140215f3bec95"/>
      <w:bookmarkStart w:id="61" w:name="zb0a52e999a7c46aaad4140215f3bec95"/>
      <w:bookmarkEnd w:id="61"/>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a4911c9801614809b64532e60e594cfb"/>
      <w:bookmarkStart w:id="63" w:name="za4911c9801614809b64532e60e594cfb"/>
      <w:bookmarkEnd w:id="63"/>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2d9c94061a9c4aa28a0f9d1d06bb8499"/>
      <w:bookmarkStart w:id="65" w:name="z2d9c94061a9c4aa28a0f9d1d06bb8499"/>
      <w:bookmarkEnd w:id="6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de4f6a5fe27642c7b06630b145f6b8af"/>
      <w:bookmarkStart w:id="67" w:name="zde4f6a5fe27642c7b06630b145f6b8af"/>
      <w:bookmarkEnd w:id="67"/>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acfa71a95e65472ab334f7f5520f1b15"/>
      <w:bookmarkStart w:id="69" w:name="zacfa71a95e65472ab334f7f5520f1b15"/>
      <w:bookmarkEnd w:id="69"/>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8f73ac226be341dc8eda760e9cdf9477"/>
      <w:bookmarkStart w:id="71" w:name="z8f73ac226be341dc8eda760e9cdf9477"/>
      <w:bookmarkEnd w:id="71"/>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ba40bb16cdbf4a6690233e50179aa514"/>
      <w:bookmarkStart w:id="73" w:name="zba40bb16cdbf4a6690233e50179aa514"/>
      <w:bookmarkEnd w:id="73"/>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c29f50f5a6fe4d55a8a9bf296b5a65ea"/>
      <w:bookmarkStart w:id="75" w:name="zc29f50f5a6fe4d55a8a9bf296b5a65ea"/>
      <w:bookmarkEnd w:id="7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fca3817e14aa4863aec0c56abd974d93"/>
      <w:bookmarkStart w:id="77" w:name="zfca3817e14aa4863aec0c56abd974d93"/>
      <w:bookmarkEnd w:id="77"/>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8" w:name="aaa49fec9b664f998f0e022e09a9b9d1"/>
      <w:bookmarkStart w:id="79" w:name="aaa49fec9b664f998f0e022e09a9b9d1"/>
      <w:bookmarkEnd w:id="79"/>
    </w:p>
    <w:tbl>
      <w:tblPr>
        <w:tblW w:w="6310" w:type="dxa"/>
        <w:jc w:val="left"/>
        <w:tblInd w:w="0" w:type="dxa"/>
        <w:tblLayout w:type="fixed"/>
        <w:tblCellMar>
          <w:top w:w="0" w:type="dxa"/>
          <w:left w:w="0" w:type="dxa"/>
          <w:bottom w:w="0" w:type="dxa"/>
          <w:right w:w="0" w:type="dxa"/>
        </w:tblCellMar>
      </w:tblPr>
      <w:tblGrid>
        <w:gridCol w:w="2060"/>
        <w:gridCol w:w="4250"/>
      </w:tblGrid>
      <w:tr>
        <w:trPr/>
        <w:tc>
          <w:tcPr>
            <w:tcW w:w="2060" w:type="dxa"/>
            <w:tcBorders/>
            <w:vAlign w:val="center"/>
          </w:tcPr>
          <w:p>
            <w:pPr>
              <w:pStyle w:val="TableContents"/>
              <w:bidi w:val="0"/>
              <w:spacing w:before="0" w:after="283"/>
              <w:jc w:val="left"/>
              <w:rPr/>
            </w:pPr>
            <w:r>
              <w:rPr/>
              <w:t>Date: August 7, 2026</w:t>
            </w:r>
          </w:p>
        </w:tc>
        <w:tc>
          <w:tcPr>
            <w:tcW w:w="4250" w:type="dxa"/>
            <w:tcBorders/>
            <w:vAlign w:val="center"/>
          </w:tcPr>
          <w:p>
            <w:pPr>
              <w:pStyle w:val="TableContents"/>
              <w:bidi w:val="0"/>
              <w:spacing w:before="0" w:after="283"/>
              <w:jc w:val="left"/>
              <w:rPr>
                <w:u w:val="single"/>
              </w:rPr>
            </w:pPr>
            <w:r>
              <w:rPr>
                <w:u w:val="single"/>
              </w:rPr>
              <w:t>/s/ Dana Yaacov Garbeli</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Dana Yaacov-Garbeli</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Chief Financial Officer</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80" w:name="exhibit_32-1.htm"/>
      <w:bookmarkStart w:id="81" w:name="ksexhibit_321"/>
      <w:bookmarkStart w:id="82" w:name="exhibit_32-1.htm"/>
      <w:bookmarkStart w:id="83" w:name="ksexhibit_321"/>
      <w:bookmarkEnd w:id="82"/>
      <w:bookmarkEnd w:id="8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32.1</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906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Miranda Toledano, Chief Executive Officer of Entera Bio Ltd. (the “Company”), certify, pursuant to Section 906 of the Sarbanes-Oxley Act of 2002, 18 U.S.C. Section 1350 that, to the best of my knowledge:</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0"/>
              <w:jc w:val="both"/>
              <w:rPr/>
            </w:pPr>
            <w:r>
              <w:rPr/>
              <w:t>the Quarterly Report on Form 10-Q of the Company for the fiscal quarter ended June 30, 2026 (the “Report”) fully complies with the requirements of Section 13(a) or 15(d) of the Securities Exchange Act of 1934 (15 U.S.C. 78m or 78o(d));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w:t>
      </w:r>
    </w:p>
    <w:tbl>
      <w:tblPr>
        <w:tblW w:w="4810" w:type="dxa"/>
        <w:jc w:val="left"/>
        <w:tblInd w:w="0" w:type="dxa"/>
        <w:tblLayout w:type="fixed"/>
        <w:tblCellMar>
          <w:top w:w="0" w:type="dxa"/>
          <w:left w:w="0" w:type="dxa"/>
          <w:bottom w:w="0" w:type="dxa"/>
          <w:right w:w="0" w:type="dxa"/>
        </w:tblCellMar>
      </w:tblPr>
      <w:tblGrid>
        <w:gridCol w:w="2060"/>
        <w:gridCol w:w="2750"/>
      </w:tblGrid>
      <w:tr>
        <w:trPr/>
        <w:tc>
          <w:tcPr>
            <w:tcW w:w="2060" w:type="dxa"/>
            <w:tcBorders/>
            <w:vAlign w:val="center"/>
          </w:tcPr>
          <w:p>
            <w:pPr>
              <w:pStyle w:val="TableContents"/>
              <w:bidi w:val="0"/>
              <w:spacing w:before="0" w:after="283"/>
              <w:jc w:val="left"/>
              <w:rPr/>
            </w:pPr>
            <w:r>
              <w:rPr/>
              <w:t>Date: August 7, 2026</w:t>
            </w:r>
          </w:p>
        </w:tc>
        <w:tc>
          <w:tcPr>
            <w:tcW w:w="2750" w:type="dxa"/>
            <w:tcBorders/>
            <w:vAlign w:val="center"/>
          </w:tcPr>
          <w:p>
            <w:pPr>
              <w:pStyle w:val="TableContents"/>
              <w:bidi w:val="0"/>
              <w:spacing w:before="0" w:after="283"/>
              <w:jc w:val="left"/>
              <w:rPr>
                <w:u w:val="single"/>
              </w:rPr>
            </w:pPr>
            <w:r>
              <w:rPr>
                <w:u w:val="single"/>
              </w:rPr>
              <w:t>/s/ Miranda Toledano</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Miranda Toledano</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Chief Executive Officer</w:t>
            </w:r>
          </w:p>
        </w:tc>
      </w:tr>
      <w:tr>
        <w:trPr/>
        <w:tc>
          <w:tcPr>
            <w:tcW w:w="2060" w:type="dxa"/>
            <w:tcBorders/>
            <w:vAlign w:val="center"/>
          </w:tcPr>
          <w:p>
            <w:pPr>
              <w:pStyle w:val="TableContents"/>
              <w:bidi w:val="0"/>
              <w:spacing w:before="0" w:after="283"/>
              <w:jc w:val="left"/>
              <w:rPr/>
            </w:pPr>
            <w:r>
              <w:rPr/>
            </w:r>
          </w:p>
        </w:tc>
        <w:tc>
          <w:tcPr>
            <w:tcW w:w="2750" w:type="dxa"/>
            <w:tcBorders/>
            <w:vAlign w:val="center"/>
          </w:tcPr>
          <w:p>
            <w:pPr>
              <w:pStyle w:val="TableContents"/>
              <w:bidi w:val="0"/>
              <w:spacing w:before="0" w:after="283"/>
              <w:jc w:val="left"/>
              <w:rPr/>
            </w:pPr>
            <w:r>
              <w:rPr/>
              <w:t>(Principal Executive Officer)</w:t>
            </w:r>
          </w:p>
        </w:tc>
      </w:tr>
    </w:tbl>
    <w:p>
      <w:pPr>
        <w:pStyle w:val="TextBody"/>
        <w:bidi w:val="0"/>
        <w:spacing w:lineRule="auto" w:line="300" w:before="0" w:after="0"/>
        <w:jc w:val="left"/>
        <w:rPr>
          <w:color w:val="000000"/>
        </w:rPr>
      </w:pPr>
      <w:r>
        <w:rPr>
          <w:color w:val="000000"/>
        </w:rPr>
        <w:t> </w:t>
      </w:r>
    </w:p>
    <w:p>
      <w:pPr>
        <w:pStyle w:val="HorizontalLine"/>
        <w:bidi w:val="0"/>
        <w:jc w:val="left"/>
        <w:rPr/>
      </w:pPr>
      <w:r>
        <w:rPr/>
      </w:r>
    </w:p>
    <w:p>
      <w:pPr>
        <w:pStyle w:val="HorizontalLine"/>
        <w:bidi w:val="0"/>
        <w:jc w:val="left"/>
        <w:rPr/>
      </w:pPr>
      <w:r>
        <w:rPr/>
      </w:r>
      <w:bookmarkStart w:id="84" w:name="exhibit_32-2.htm"/>
      <w:bookmarkStart w:id="85" w:name="ksexhibit_322"/>
      <w:bookmarkStart w:id="86" w:name="exhibit_32-2.htm"/>
      <w:bookmarkStart w:id="87" w:name="ksexhibit_322"/>
      <w:bookmarkEnd w:id="86"/>
      <w:bookmarkEnd w:id="87"/>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32.2</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906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Dana Yaacov-Garbeli, Chief Financial Officer of Entera Bio Ltd. (the “Company”), certify, pursuant to Section 906 of the Sarbanes-Oxley Act of 2002, 18 U.S.C. Section 1350 that, to the best of my knowledge:</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0"/>
              <w:jc w:val="both"/>
              <w:rPr/>
            </w:pPr>
            <w:r>
              <w:rPr/>
              <w:t>the Quarterly Report on Form 10-Q of the Company for the fiscal quarter ended June 30, 2026 (the “Report”) fully complies with the requirements of Section 13(a) or 15(d) of the Securities Exchange Act of 1934 (15 U.S.C. 78m or 78o(d));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w:t>
      </w:r>
    </w:p>
    <w:tbl>
      <w:tblPr>
        <w:tblW w:w="6310" w:type="dxa"/>
        <w:jc w:val="left"/>
        <w:tblInd w:w="0" w:type="dxa"/>
        <w:tblLayout w:type="fixed"/>
        <w:tblCellMar>
          <w:top w:w="0" w:type="dxa"/>
          <w:left w:w="0" w:type="dxa"/>
          <w:bottom w:w="0" w:type="dxa"/>
          <w:right w:w="0" w:type="dxa"/>
        </w:tblCellMar>
      </w:tblPr>
      <w:tblGrid>
        <w:gridCol w:w="2060"/>
        <w:gridCol w:w="4250"/>
      </w:tblGrid>
      <w:tr>
        <w:trPr/>
        <w:tc>
          <w:tcPr>
            <w:tcW w:w="2060" w:type="dxa"/>
            <w:tcBorders/>
            <w:vAlign w:val="center"/>
          </w:tcPr>
          <w:p>
            <w:pPr>
              <w:pStyle w:val="TableContents"/>
              <w:bidi w:val="0"/>
              <w:spacing w:before="0" w:after="283"/>
              <w:jc w:val="left"/>
              <w:rPr/>
            </w:pPr>
            <w:r>
              <w:rPr/>
              <w:t>Date: August 7, 2026</w:t>
            </w:r>
          </w:p>
        </w:tc>
        <w:tc>
          <w:tcPr>
            <w:tcW w:w="4250" w:type="dxa"/>
            <w:tcBorders/>
            <w:vAlign w:val="center"/>
          </w:tcPr>
          <w:p>
            <w:pPr>
              <w:pStyle w:val="TableContents"/>
              <w:bidi w:val="0"/>
              <w:spacing w:before="0" w:after="283"/>
              <w:jc w:val="left"/>
              <w:rPr>
                <w:u w:val="single"/>
              </w:rPr>
            </w:pPr>
            <w:r>
              <w:rPr>
                <w:u w:val="single"/>
              </w:rPr>
              <w:t>/s/ Dana Yaacov-Garbeli</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Dana Yaacov-Garbeli</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Chief Financial Officer</w:t>
            </w:r>
          </w:p>
        </w:tc>
      </w:tr>
      <w:tr>
        <w:trPr/>
        <w:tc>
          <w:tcPr>
            <w:tcW w:w="2060" w:type="dxa"/>
            <w:tcBorders/>
            <w:vAlign w:val="center"/>
          </w:tcPr>
          <w:p>
            <w:pPr>
              <w:pStyle w:val="TableContents"/>
              <w:bidi w:val="0"/>
              <w:spacing w:before="0" w:after="283"/>
              <w:jc w:val="left"/>
              <w:rPr/>
            </w:pPr>
            <w:r>
              <w:rPr/>
            </w:r>
          </w:p>
        </w:tc>
        <w:tc>
          <w:tcPr>
            <w:tcW w:w="4250"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8097/000117891326002001/exhibit_10-1.htm" TargetMode="External"/><Relationship Id="rId3" Type="http://schemas.openxmlformats.org/officeDocument/2006/relationships/hyperlink" Target="https://www.sec.gov/Archives/edgar/data/1638097/000117891326002001/exhibit_10-1.htm" TargetMode="External"/><Relationship Id="rId4" Type="http://schemas.openxmlformats.org/officeDocument/2006/relationships/hyperlink" Target="https://www.sec.gov/Archives/edgar/data/1638097/000117891326002001/exhibit_10-2.htm" TargetMode="External"/><Relationship Id="rId5" Type="http://schemas.openxmlformats.org/officeDocument/2006/relationships/hyperlink" Target="https://www.sec.gov/Archives/edgar/data/1638097/000117891326002001/exhibit_10-2.htm" TargetMode="External"/><Relationship Id="rId6" Type="http://schemas.openxmlformats.org/officeDocument/2006/relationships/hyperlink" Target="https://www.sec.gov/Archives/edgar/data/1638097/000117891326002001/exhibit_10-3.htm" TargetMode="External"/><Relationship Id="rId7" Type="http://schemas.openxmlformats.org/officeDocument/2006/relationships/hyperlink" Target="https://www.sec.gov/Archives/edgar/data/1638097/000117891326002001/exhibit_10-3.htm" TargetMode="External"/><Relationship Id="rId8" Type="http://schemas.openxmlformats.org/officeDocument/2006/relationships/hyperlink" Target="https://www.sec.gov/Archives/edgar/data/1638097/000117891326002001/exhibit_10-4.htm" TargetMode="External"/><Relationship Id="rId9" Type="http://schemas.openxmlformats.org/officeDocument/2006/relationships/hyperlink" Target="https://www.sec.gov/Archives/edgar/data/1638097/000117891326002001/exhibit_10-4.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19992</Words>
  <Characters>111338</Characters>
  <CharactersWithSpaces>132283</CharactersWithSpaces>
  <Paragraphs>3965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